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F4353" w14:textId="77777777" w:rsidR="00BC6406" w:rsidRPr="0099698D" w:rsidRDefault="00BC6406" w:rsidP="00BC6406">
      <w:pPr>
        <w:pStyle w:val="Heading1"/>
      </w:pPr>
      <w:r w:rsidRPr="0099698D">
        <w:t>Frequently Asked Net Energy Billing Questions</w:t>
      </w:r>
    </w:p>
    <w:p w14:paraId="52268DD0" w14:textId="77777777" w:rsidR="00BC6406" w:rsidRPr="0099698D" w:rsidRDefault="00BC6406" w:rsidP="00BC6406"/>
    <w:p w14:paraId="2C1B3A0F" w14:textId="77777777" w:rsidR="00AF3E43" w:rsidRPr="0099698D" w:rsidRDefault="00AF3E43" w:rsidP="00AF3E43">
      <w:pPr>
        <w:rPr>
          <w:b/>
        </w:rPr>
      </w:pPr>
      <w:r>
        <w:rPr>
          <w:b/>
        </w:rPr>
        <w:t>1</w:t>
      </w:r>
      <w:r w:rsidRPr="0099698D">
        <w:rPr>
          <w:b/>
        </w:rPr>
        <w:t xml:space="preserve">.  If I install a renewable generator, will I be able to </w:t>
      </w:r>
      <w:r w:rsidR="00C30842">
        <w:rPr>
          <w:b/>
        </w:rPr>
        <w:t>obtain a Customer N</w:t>
      </w:r>
      <w:r w:rsidRPr="0099698D">
        <w:rPr>
          <w:b/>
        </w:rPr>
        <w:t xml:space="preserve">et </w:t>
      </w:r>
      <w:r w:rsidR="00C30842">
        <w:rPr>
          <w:b/>
        </w:rPr>
        <w:t>Energy Billing Agreement</w:t>
      </w:r>
      <w:r w:rsidRPr="0099698D">
        <w:rPr>
          <w:b/>
        </w:rPr>
        <w:t>?</w:t>
      </w:r>
    </w:p>
    <w:p w14:paraId="2B8F0E98" w14:textId="77777777" w:rsidR="00AF3E43" w:rsidRDefault="00AF3E43" w:rsidP="00BC6406">
      <w:r w:rsidRPr="0099698D">
        <w:t xml:space="preserve">Yes, </w:t>
      </w:r>
      <w:r>
        <w:t xml:space="preserve">if the generator meets all of the qualifications to generate in parallel with our system under Chapter 324 and qualifies as a net metering resource under Chapter 313, </w:t>
      </w:r>
      <w:r w:rsidRPr="0099698D">
        <w:t xml:space="preserve">CMP </w:t>
      </w:r>
      <w:r w:rsidR="00C30842">
        <w:t>will</w:t>
      </w:r>
      <w:r w:rsidRPr="0099698D">
        <w:t xml:space="preserve"> sign </w:t>
      </w:r>
      <w:r>
        <w:t xml:space="preserve">both </w:t>
      </w:r>
      <w:r w:rsidRPr="0099698D">
        <w:t xml:space="preserve">a Customer Net Energy Billing Agreement (“CNEBA”) </w:t>
      </w:r>
      <w:r>
        <w:t>and Interconnection Agreement (“IA”)</w:t>
      </w:r>
      <w:r w:rsidR="00C30842">
        <w:t>.</w:t>
      </w:r>
      <w:r w:rsidRPr="0099698D">
        <w:t xml:space="preserve">  </w:t>
      </w:r>
    </w:p>
    <w:p w14:paraId="2A2F9917" w14:textId="77777777" w:rsidR="00AF3E43" w:rsidRDefault="00AF3E43" w:rsidP="00BC6406"/>
    <w:p w14:paraId="7F10BFD9" w14:textId="77777777" w:rsidR="00AF3E43" w:rsidRPr="008720C0" w:rsidRDefault="00AF3E43" w:rsidP="00AF3E43">
      <w:pPr>
        <w:rPr>
          <w:b/>
        </w:rPr>
      </w:pPr>
      <w:r w:rsidRPr="008720C0">
        <w:rPr>
          <w:b/>
        </w:rPr>
        <w:t xml:space="preserve">2. In December 2019 what changes did the MPUC make to </w:t>
      </w:r>
      <w:r>
        <w:rPr>
          <w:b/>
        </w:rPr>
        <w:t xml:space="preserve">the existing </w:t>
      </w:r>
      <w:r w:rsidRPr="008720C0">
        <w:rPr>
          <w:b/>
        </w:rPr>
        <w:t>Chapter 313 rule?</w:t>
      </w:r>
    </w:p>
    <w:p w14:paraId="409CE663" w14:textId="77777777" w:rsidR="00AF3E43" w:rsidRDefault="00C30842" w:rsidP="00BC6406">
      <w:r>
        <w:t xml:space="preserve">The new Chapter 313 envisions five (5) new types of net metering agreements (see question 3). </w:t>
      </w:r>
      <w:r w:rsidR="008720C0">
        <w:t xml:space="preserve">In addition, </w:t>
      </w:r>
      <w:r>
        <w:t>the MPUC increase</w:t>
      </w:r>
      <w:r w:rsidR="00D410CD">
        <w:t>d</w:t>
      </w:r>
      <w:r>
        <w:t xml:space="preserve"> the</w:t>
      </w:r>
      <w:r w:rsidR="00AF3E43">
        <w:t xml:space="preserve"> qualifying facility </w:t>
      </w:r>
      <w:r>
        <w:t xml:space="preserve">cap </w:t>
      </w:r>
      <w:r w:rsidR="00AF3E43">
        <w:t>size from 660 kW</w:t>
      </w:r>
      <w:r w:rsidR="00202377" w:rsidRPr="00202377">
        <w:rPr>
          <w:vertAlign w:val="subscript"/>
        </w:rPr>
        <w:t>AC</w:t>
      </w:r>
      <w:r w:rsidR="00AF3E43">
        <w:t xml:space="preserve"> to 4.999 MW</w:t>
      </w:r>
      <w:r w:rsidR="00202377" w:rsidRPr="00202377">
        <w:rPr>
          <w:vertAlign w:val="subscript"/>
        </w:rPr>
        <w:t>AC</w:t>
      </w:r>
      <w:r w:rsidR="00AF3E43">
        <w:t>; exception Municipal customers. The number of accounts per contract changed from 10 to unlimited. The</w:t>
      </w:r>
      <w:r w:rsidR="009B7F9B">
        <w:t xml:space="preserve"> </w:t>
      </w:r>
      <w:r>
        <w:t xml:space="preserve">customer may </w:t>
      </w:r>
      <w:r w:rsidR="00AF3E43">
        <w:t xml:space="preserve">also </w:t>
      </w:r>
      <w:r>
        <w:t xml:space="preserve">select </w:t>
      </w:r>
      <w:r w:rsidR="00AF3E43">
        <w:t xml:space="preserve">a term of </w:t>
      </w:r>
      <w:r>
        <w:t>up to</w:t>
      </w:r>
      <w:r w:rsidR="00AF3E43">
        <w:t xml:space="preserve"> 20 years</w:t>
      </w:r>
      <w:r>
        <w:t>.</w:t>
      </w:r>
      <w:r w:rsidR="00202377" w:rsidDel="00202377">
        <w:t xml:space="preserve"> </w:t>
      </w:r>
    </w:p>
    <w:p w14:paraId="5E3F35DC" w14:textId="77777777" w:rsidR="00202377" w:rsidRDefault="00202377" w:rsidP="00BC6406">
      <w:pPr>
        <w:rPr>
          <w:b/>
        </w:rPr>
      </w:pPr>
    </w:p>
    <w:p w14:paraId="3A022738" w14:textId="77777777" w:rsidR="009B7F9B" w:rsidRPr="008720C0" w:rsidRDefault="009B7F9B" w:rsidP="00BC6406">
      <w:pPr>
        <w:rPr>
          <w:b/>
        </w:rPr>
      </w:pPr>
      <w:r w:rsidRPr="008720C0">
        <w:rPr>
          <w:b/>
        </w:rPr>
        <w:t xml:space="preserve">3. </w:t>
      </w:r>
      <w:r w:rsidR="00C30842">
        <w:rPr>
          <w:b/>
        </w:rPr>
        <w:t>What are the differences between the 5 types of net metering agreements</w:t>
      </w:r>
      <w:r w:rsidRPr="008720C0">
        <w:rPr>
          <w:b/>
        </w:rPr>
        <w:t>?</w:t>
      </w:r>
    </w:p>
    <w:p w14:paraId="7FA75134" w14:textId="77777777" w:rsidR="009B7F9B" w:rsidRDefault="009B7F9B" w:rsidP="00D410CD">
      <w:pPr>
        <w:numPr>
          <w:ilvl w:val="0"/>
          <w:numId w:val="18"/>
        </w:numPr>
      </w:pPr>
      <w:r>
        <w:t>Single Customer: This type of agreement offsets kWhs and has one owner and one account. These agreements only offset kWh charges and not fixed charges associated with the customer’s bill.</w:t>
      </w:r>
    </w:p>
    <w:p w14:paraId="50E32B21" w14:textId="77777777" w:rsidR="009B7F9B" w:rsidRDefault="009B7F9B" w:rsidP="00D410CD">
      <w:pPr>
        <w:numPr>
          <w:ilvl w:val="0"/>
          <w:numId w:val="18"/>
        </w:numPr>
      </w:pPr>
      <w:r>
        <w:t>Single Ownership/Multiple Accounts: This type of agreement also offsets kWh and has one owner. These agreements only offset kWh charges and not fixed charges associated with the customer’s bill. The difference is the single customer is offsetting multiple accounts. All accounts must be in the same name and may share credits using the cascading method or the percentage allocation method.</w:t>
      </w:r>
    </w:p>
    <w:p w14:paraId="35FA78EA" w14:textId="77777777" w:rsidR="009B7F9B" w:rsidRDefault="009B7F9B" w:rsidP="00D410CD">
      <w:pPr>
        <w:numPr>
          <w:ilvl w:val="0"/>
          <w:numId w:val="18"/>
        </w:numPr>
      </w:pPr>
      <w:r>
        <w:t xml:space="preserve">Shared Financial Interest: This type of agreement also offsets kWh however may have multiple account holders with different names. These agreements only offset kWh charges and not fixed charges associated with the customer’s bill. Each customer must share in the financial interest of the facility through such </w:t>
      </w:r>
      <w:r w:rsidR="008720C0">
        <w:t>obligations as described in</w:t>
      </w:r>
      <w:r>
        <w:t xml:space="preserve"> an ownership agreement, purchase power agreement (“PPA”) or lease agreement. </w:t>
      </w:r>
      <w:r w:rsidR="00D410CD">
        <w:t xml:space="preserve">The customer(s) must also provide an affidavit attesting that all customers taking part in the agreement have a financial stake in the facility. </w:t>
      </w:r>
      <w:r>
        <w:t>All accounts may share credits using the cascading method or the percentage allocation method.</w:t>
      </w:r>
      <w:r w:rsidR="00D410CD">
        <w:t xml:space="preserve"> </w:t>
      </w:r>
    </w:p>
    <w:p w14:paraId="64FD805F" w14:textId="77777777" w:rsidR="009B7F9B" w:rsidRDefault="009B7F9B" w:rsidP="00D410CD">
      <w:pPr>
        <w:numPr>
          <w:ilvl w:val="0"/>
          <w:numId w:val="18"/>
        </w:numPr>
      </w:pPr>
      <w:r>
        <w:t xml:space="preserve">Municipal Customer Contracts: These agreements </w:t>
      </w:r>
      <w:r w:rsidR="00D410CD">
        <w:t>also</w:t>
      </w:r>
      <w:r>
        <w:t xml:space="preserve"> offset kWh charges and not fixed charges associated with the customer’s bill. Two main differences from those listed above. First, all of the </w:t>
      </w:r>
      <w:r w:rsidR="00D410CD">
        <w:t>accounts</w:t>
      </w:r>
      <w:r>
        <w:t xml:space="preserve"> that share credit in the facility must be </w:t>
      </w:r>
      <w:r w:rsidR="00D410CD">
        <w:t xml:space="preserve">municipal </w:t>
      </w:r>
      <w:r>
        <w:t>accounts. Second, the facility size may exceed 4.999 MW</w:t>
      </w:r>
      <w:r w:rsidR="00202377" w:rsidRPr="00202377">
        <w:rPr>
          <w:vertAlign w:val="subscript"/>
        </w:rPr>
        <w:t>AC</w:t>
      </w:r>
      <w:r w:rsidR="008720C0">
        <w:t>,</w:t>
      </w:r>
      <w:r>
        <w:t xml:space="preserve"> </w:t>
      </w:r>
      <w:r w:rsidR="008720C0">
        <w:t>h</w:t>
      </w:r>
      <w:r>
        <w:t xml:space="preserve">owever, only the first 4.999 MWh/hr </w:t>
      </w:r>
      <w:r w:rsidR="00D410CD">
        <w:t xml:space="preserve">registered at the customer meter </w:t>
      </w:r>
      <w:r>
        <w:t xml:space="preserve">will be used to offset other accounts. Any energy above 4.999 MWh/hr will be used to reduce system losses. </w:t>
      </w:r>
      <w:r w:rsidR="00D410CD">
        <w:t>A</w:t>
      </w:r>
      <w:r>
        <w:t xml:space="preserve">ll </w:t>
      </w:r>
      <w:r w:rsidR="00D410CD">
        <w:t xml:space="preserve">municipal </w:t>
      </w:r>
      <w:r>
        <w:t>accounts may share credits using the cascading method or the percentage allocation method.</w:t>
      </w:r>
    </w:p>
    <w:p w14:paraId="6C32B4C5" w14:textId="77777777" w:rsidR="009B7F9B" w:rsidRDefault="00964057" w:rsidP="00D410CD">
      <w:pPr>
        <w:numPr>
          <w:ilvl w:val="0"/>
          <w:numId w:val="18"/>
        </w:numPr>
      </w:pPr>
      <w:r>
        <w:t>Tariff Rate</w:t>
      </w:r>
      <w:r w:rsidR="009B7F9B">
        <w:t xml:space="preserve"> </w:t>
      </w:r>
      <w:r>
        <w:t>Contracts (aka C</w:t>
      </w:r>
      <w:r w:rsidR="00D410CD">
        <w:t>ommercial or Institutional</w:t>
      </w:r>
      <w:r w:rsidR="009B7F9B">
        <w:t xml:space="preserve"> </w:t>
      </w:r>
      <w:r w:rsidR="00D410CD">
        <w:t>C</w:t>
      </w:r>
      <w:r w:rsidR="009B7F9B">
        <w:t>ustomers</w:t>
      </w:r>
      <w:r w:rsidR="00D410CD">
        <w:t>)</w:t>
      </w:r>
      <w:r w:rsidR="009B7F9B">
        <w:t xml:space="preserve"> receive a tariff rate dollar credit. </w:t>
      </w:r>
      <w:r w:rsidR="00D410CD">
        <w:t xml:space="preserve">Only non-residential customer accounts qualify to receive the tariff rate bill credit. </w:t>
      </w:r>
      <w:r w:rsidR="009B7F9B">
        <w:t xml:space="preserve">These customers may share credits using the cascade method or the percentage allocation. </w:t>
      </w:r>
      <w:r w:rsidR="00D410CD">
        <w:t>C</w:t>
      </w:r>
      <w:r w:rsidR="009B7F9B">
        <w:t>ustomer</w:t>
      </w:r>
      <w:r w:rsidR="00D410CD">
        <w:t>s participating in this type of arrangement</w:t>
      </w:r>
      <w:r w:rsidR="009B7F9B">
        <w:t xml:space="preserve"> may take the current </w:t>
      </w:r>
      <w:r w:rsidR="008720C0">
        <w:t xml:space="preserve">billed </w:t>
      </w:r>
      <w:r w:rsidR="009B7F9B">
        <w:t xml:space="preserve">charges to zero. </w:t>
      </w:r>
      <w:r w:rsidR="00D410CD">
        <w:t>T</w:t>
      </w:r>
      <w:r w:rsidR="009B7F9B">
        <w:t>hese customers bank dollars rather than kWhs.</w:t>
      </w:r>
      <w:r w:rsidR="00D410CD">
        <w:t xml:space="preserve"> The MPUC establishes the tariff rate for small, medium and large customers annually on or around December 1 on the year prior to the billing year. </w:t>
      </w:r>
      <w:r w:rsidR="00202377">
        <w:t>Customers that qualify to receive a bill credit will need installed a revenue quality meter and telephone line.</w:t>
      </w:r>
    </w:p>
    <w:p w14:paraId="704DD7DC" w14:textId="77777777" w:rsidR="00AF3E43" w:rsidRDefault="00AF3E43" w:rsidP="00BC6406">
      <w:pPr>
        <w:rPr>
          <w:b/>
        </w:rPr>
      </w:pPr>
    </w:p>
    <w:p w14:paraId="755EFB25" w14:textId="77777777" w:rsidR="00BC6406" w:rsidRPr="0099698D" w:rsidRDefault="008720C0" w:rsidP="00BC6406">
      <w:pPr>
        <w:rPr>
          <w:b/>
        </w:rPr>
      </w:pPr>
      <w:r>
        <w:rPr>
          <w:b/>
        </w:rPr>
        <w:lastRenderedPageBreak/>
        <w:t>4</w:t>
      </w:r>
      <w:r w:rsidR="00BC6406" w:rsidRPr="0099698D">
        <w:rPr>
          <w:b/>
        </w:rPr>
        <w:t xml:space="preserve">.  Does Central Maine Power Company </w:t>
      </w:r>
      <w:r w:rsidR="00BC6406">
        <w:rPr>
          <w:b/>
        </w:rPr>
        <w:t>offer</w:t>
      </w:r>
      <w:r w:rsidR="00BC6406" w:rsidRPr="0099698D">
        <w:rPr>
          <w:b/>
        </w:rPr>
        <w:t xml:space="preserve"> grants </w:t>
      </w:r>
      <w:r w:rsidR="00BC6406">
        <w:rPr>
          <w:b/>
        </w:rPr>
        <w:t>to</w:t>
      </w:r>
      <w:r w:rsidR="00BC6406" w:rsidRPr="0099698D">
        <w:rPr>
          <w:b/>
        </w:rPr>
        <w:t xml:space="preserve"> customers who install a renewable energy generator</w:t>
      </w:r>
      <w:r w:rsidR="00BC6406">
        <w:rPr>
          <w:b/>
        </w:rPr>
        <w:t xml:space="preserve"> under the net metering program?</w:t>
      </w:r>
    </w:p>
    <w:p w14:paraId="57D5ADC1" w14:textId="77777777" w:rsidR="00AF3E43" w:rsidRDefault="00BC6406" w:rsidP="00BC6406">
      <w:r w:rsidRPr="0099698D">
        <w:t xml:space="preserve">No, CMP does not have any grants available to customers who install a renewable energy generator.  Efficiency Maine at 1-866-376-2463 or </w:t>
      </w:r>
      <w:hyperlink r:id="rId8" w:history="1">
        <w:r w:rsidRPr="0099698D">
          <w:rPr>
            <w:rStyle w:val="Hyperlink"/>
          </w:rPr>
          <w:t>www.efficiencymaine.com</w:t>
        </w:r>
      </w:hyperlink>
      <w:r w:rsidRPr="0099698D">
        <w:t xml:space="preserve">  may be able to provide you with information about what programs are available through the State of Maine</w:t>
      </w:r>
      <w:r>
        <w:t xml:space="preserve"> or Federal government</w:t>
      </w:r>
      <w:r w:rsidRPr="0099698D">
        <w:t>. You might also check with the IRS and the Maine Tax Service to see whether your generator would qualify for any tax deductions or tax credits.</w:t>
      </w:r>
    </w:p>
    <w:p w14:paraId="3B77B3EF" w14:textId="77777777" w:rsidR="00AF3E43" w:rsidRDefault="00AF3E43" w:rsidP="00BC6406"/>
    <w:p w14:paraId="7A3EA419" w14:textId="77777777" w:rsidR="00BC6406" w:rsidRPr="0099698D" w:rsidRDefault="00AF3E43" w:rsidP="00BC6406">
      <w:pPr>
        <w:rPr>
          <w:b/>
        </w:rPr>
      </w:pPr>
      <w:r>
        <w:rPr>
          <w:b/>
        </w:rPr>
        <w:t>5</w:t>
      </w:r>
      <w:r w:rsidR="00BC6406" w:rsidRPr="0099698D">
        <w:rPr>
          <w:b/>
        </w:rPr>
        <w:t xml:space="preserve">.   If I </w:t>
      </w:r>
      <w:r w:rsidR="00D410CD">
        <w:rPr>
          <w:b/>
        </w:rPr>
        <w:t>generate more</w:t>
      </w:r>
      <w:r w:rsidR="00BC6406" w:rsidRPr="0099698D">
        <w:rPr>
          <w:b/>
        </w:rPr>
        <w:t xml:space="preserve"> kWh during a billing cycle</w:t>
      </w:r>
      <w:r w:rsidR="00D410CD">
        <w:rPr>
          <w:b/>
        </w:rPr>
        <w:t xml:space="preserve"> than I consume</w:t>
      </w:r>
      <w:r w:rsidR="00BC6406" w:rsidRPr="0099698D">
        <w:rPr>
          <w:b/>
        </w:rPr>
        <w:t>, will my electric bill be zero?</w:t>
      </w:r>
    </w:p>
    <w:p w14:paraId="502A4FD6" w14:textId="77777777" w:rsidR="008720C0" w:rsidRDefault="00AF3E43" w:rsidP="00BC6406">
      <w:r>
        <w:t xml:space="preserve">No if the agreement is </w:t>
      </w:r>
      <w:r w:rsidR="009B7F9B">
        <w:t xml:space="preserve">a </w:t>
      </w:r>
      <w:r>
        <w:t>kWh crediting type</w:t>
      </w:r>
      <w:r w:rsidR="009B7F9B">
        <w:t xml:space="preserve"> agreement and</w:t>
      </w:r>
      <w:r w:rsidR="00BC6406" w:rsidRPr="0099698D">
        <w:t xml:space="preserve"> </w:t>
      </w:r>
      <w:r w:rsidR="009B7F9B">
        <w:t xml:space="preserve">your current month billable amount is 0 kWH </w:t>
      </w:r>
      <w:r w:rsidR="00BC6406" w:rsidRPr="0099698D">
        <w:t xml:space="preserve">you will still be required to pay the minimum CMP delivery charge </w:t>
      </w:r>
      <w:r w:rsidR="00D410CD">
        <w:t xml:space="preserve">and applicable demand charges </w:t>
      </w:r>
      <w:r w:rsidR="00BC6406" w:rsidRPr="0099698D">
        <w:t>for your rate class.</w:t>
      </w:r>
      <w:r w:rsidR="00D410CD" w:rsidRPr="0099698D" w:rsidDel="00D410CD">
        <w:t xml:space="preserve"> </w:t>
      </w:r>
    </w:p>
    <w:p w14:paraId="0245AF38" w14:textId="77777777" w:rsidR="00D410CD" w:rsidRDefault="00D410CD" w:rsidP="00BC6406"/>
    <w:p w14:paraId="465FAF17" w14:textId="77777777" w:rsidR="008720C0" w:rsidRPr="008720C0" w:rsidRDefault="008720C0" w:rsidP="00D410CD">
      <w:pPr>
        <w:rPr>
          <w:b/>
        </w:rPr>
      </w:pPr>
      <w:r>
        <w:rPr>
          <w:b/>
        </w:rPr>
        <w:t xml:space="preserve">6.  </w:t>
      </w:r>
      <w:r w:rsidR="00D410CD">
        <w:rPr>
          <w:b/>
        </w:rPr>
        <w:t>U</w:t>
      </w:r>
      <w:r>
        <w:rPr>
          <w:b/>
        </w:rPr>
        <w:t xml:space="preserve">nder the </w:t>
      </w:r>
      <w:r w:rsidR="00964057">
        <w:rPr>
          <w:b/>
        </w:rPr>
        <w:t>Tariff Rate</w:t>
      </w:r>
      <w:r>
        <w:rPr>
          <w:b/>
        </w:rPr>
        <w:t xml:space="preserve"> program during a billing cycle </w:t>
      </w:r>
      <w:r w:rsidR="00D410CD">
        <w:rPr>
          <w:b/>
        </w:rPr>
        <w:t>can</w:t>
      </w:r>
      <w:r>
        <w:rPr>
          <w:b/>
        </w:rPr>
        <w:t xml:space="preserve"> my electric bill be zero?</w:t>
      </w:r>
    </w:p>
    <w:p w14:paraId="5FCCE497" w14:textId="77777777" w:rsidR="00AF3E43" w:rsidRDefault="00D410CD" w:rsidP="00BC6406">
      <w:r>
        <w:t>Y</w:t>
      </w:r>
      <w:r w:rsidR="009B7F9B">
        <w:t>es if the dollar credit you are entitled to exceed</w:t>
      </w:r>
      <w:r w:rsidR="008720C0">
        <w:t>s</w:t>
      </w:r>
      <w:r w:rsidR="009B7F9B">
        <w:t xml:space="preserve"> both your delivery charges and your supply charges. </w:t>
      </w:r>
    </w:p>
    <w:p w14:paraId="526A6087" w14:textId="77777777" w:rsidR="00BC6406" w:rsidRPr="0099698D" w:rsidRDefault="00BC6406" w:rsidP="00BC6406"/>
    <w:p w14:paraId="5605F58E" w14:textId="77777777" w:rsidR="00BC6406" w:rsidRPr="0099698D" w:rsidRDefault="008720C0" w:rsidP="00BC6406">
      <w:pPr>
        <w:rPr>
          <w:b/>
        </w:rPr>
      </w:pPr>
      <w:r>
        <w:rPr>
          <w:b/>
        </w:rPr>
        <w:t>7</w:t>
      </w:r>
      <w:r w:rsidR="00BC6406" w:rsidRPr="0099698D">
        <w:rPr>
          <w:b/>
        </w:rPr>
        <w:t>.  Will CMP pay me for the excess kWh generated by my renewable generator under a</w:t>
      </w:r>
      <w:r w:rsidR="00D410CD">
        <w:rPr>
          <w:b/>
        </w:rPr>
        <w:t>ny of these agreements</w:t>
      </w:r>
      <w:r w:rsidR="00BC6406" w:rsidRPr="0099698D">
        <w:rPr>
          <w:b/>
        </w:rPr>
        <w:t xml:space="preserve">?  </w:t>
      </w:r>
    </w:p>
    <w:p w14:paraId="3DAA329C" w14:textId="77777777" w:rsidR="00B3440A" w:rsidRDefault="00BC6406" w:rsidP="00BC6406">
      <w:r w:rsidRPr="0099698D">
        <w:t>No</w:t>
      </w:r>
      <w:r w:rsidR="00D410CD">
        <w:t>,</w:t>
      </w:r>
      <w:r w:rsidRPr="0099698D">
        <w:t xml:space="preserve"> </w:t>
      </w:r>
      <w:r w:rsidR="00AF3E43">
        <w:t xml:space="preserve">CMP </w:t>
      </w:r>
      <w:r w:rsidR="00D410CD">
        <w:t xml:space="preserve">does not </w:t>
      </w:r>
      <w:r w:rsidR="00AF3E43">
        <w:t xml:space="preserve">pay for the excess energy produced from </w:t>
      </w:r>
      <w:r w:rsidR="00202377">
        <w:t>a</w:t>
      </w:r>
      <w:r w:rsidR="000F6541">
        <w:t xml:space="preserve"> </w:t>
      </w:r>
      <w:r w:rsidR="00AF3E43">
        <w:t>customer</w:t>
      </w:r>
      <w:r w:rsidR="008720C0">
        <w:t>’</w:t>
      </w:r>
      <w:r w:rsidR="00AF3E43">
        <w:t>s generator.</w:t>
      </w:r>
      <w:r w:rsidR="00B3440A" w:rsidRPr="0099698D" w:rsidDel="00B3440A">
        <w:t xml:space="preserve"> </w:t>
      </w:r>
      <w:r w:rsidR="00D410CD">
        <w:t>Customers are allowed to bank unused credits for up to a rolling 12 month period.</w:t>
      </w:r>
    </w:p>
    <w:p w14:paraId="45646556" w14:textId="77777777" w:rsidR="00B3440A" w:rsidRDefault="00B3440A" w:rsidP="00BC6406"/>
    <w:p w14:paraId="379065D7" w14:textId="77777777" w:rsidR="00BC6406" w:rsidRPr="0099698D" w:rsidRDefault="008720C0" w:rsidP="00BC6406">
      <w:pPr>
        <w:rPr>
          <w:b/>
        </w:rPr>
      </w:pPr>
      <w:r>
        <w:rPr>
          <w:b/>
        </w:rPr>
        <w:t>8</w:t>
      </w:r>
      <w:r w:rsidR="00BC6406" w:rsidRPr="0099698D">
        <w:rPr>
          <w:b/>
        </w:rPr>
        <w:t>.  Will I lose the banked kWh</w:t>
      </w:r>
      <w:r w:rsidR="00AF3E43">
        <w:rPr>
          <w:b/>
        </w:rPr>
        <w:t xml:space="preserve"> or dollars</w:t>
      </w:r>
      <w:r w:rsidR="00BC6406" w:rsidRPr="0099698D">
        <w:rPr>
          <w:b/>
        </w:rPr>
        <w:t xml:space="preserve"> if I do not use them in a year?  </w:t>
      </w:r>
    </w:p>
    <w:p w14:paraId="399FBB87" w14:textId="77777777" w:rsidR="00B3440A" w:rsidRDefault="00BC6406" w:rsidP="00BC6406">
      <w:r w:rsidRPr="0099698D">
        <w:t>Yes, the CNEBA employs a rolling 12</w:t>
      </w:r>
      <w:r w:rsidR="00D410CD">
        <w:t xml:space="preserve"> </w:t>
      </w:r>
      <w:r w:rsidRPr="0099698D">
        <w:t>month period for the bank</w:t>
      </w:r>
      <w:r w:rsidR="00B3440A">
        <w:t xml:space="preserve"> regardless of credit type; i.e. kWh or </w:t>
      </w:r>
      <w:r w:rsidR="00202377">
        <w:t>bill</w:t>
      </w:r>
      <w:r w:rsidR="00B3440A">
        <w:t xml:space="preserve"> credit</w:t>
      </w:r>
      <w:r w:rsidRPr="0099698D">
        <w:t xml:space="preserve">. </w:t>
      </w:r>
    </w:p>
    <w:p w14:paraId="3FE9FC64" w14:textId="77777777" w:rsidR="00B3440A" w:rsidRDefault="00B3440A" w:rsidP="00BC6406"/>
    <w:p w14:paraId="0E8453B6" w14:textId="77777777" w:rsidR="00202377" w:rsidRDefault="00B3440A" w:rsidP="00BC6406">
      <w:r w:rsidRPr="00B3440A">
        <w:t xml:space="preserve">Generated kWh will be applied against the kWh that you have drawn from the system during the billing cycle. This will reduce the amount of energy that you buy from your electric supplier and will reduce the delivery charges.  If </w:t>
      </w:r>
      <w:r w:rsidR="00202377">
        <w:t>the</w:t>
      </w:r>
      <w:r w:rsidRPr="00B3440A">
        <w:t xml:space="preserve"> kWh generation exceeds your usage over the monthly billing cycle, the unused kWh will be banked. </w:t>
      </w:r>
      <w:r w:rsidR="00202377">
        <w:t>Likewise, if you sign a tariff rate agreement and receive a bill credit the calculated bill credits will be applied to your total bill. If the bill credit exceeds the total charges over the monthly bill cycle, then unused dollars will be banked.</w:t>
      </w:r>
    </w:p>
    <w:p w14:paraId="058C1642" w14:textId="77777777" w:rsidR="00202377" w:rsidRDefault="00202377" w:rsidP="00BC6406"/>
    <w:p w14:paraId="6A3E8ABC" w14:textId="77777777" w:rsidR="00BC6406" w:rsidRDefault="00B3440A" w:rsidP="00BC6406">
      <w:r w:rsidRPr="00B3440A">
        <w:t xml:space="preserve">Banked kWh </w:t>
      </w:r>
      <w:r w:rsidR="00D410CD">
        <w:t xml:space="preserve">or </w:t>
      </w:r>
      <w:r w:rsidR="00202377">
        <w:t>b</w:t>
      </w:r>
      <w:r w:rsidR="00D410CD">
        <w:t xml:space="preserve">ill </w:t>
      </w:r>
      <w:r w:rsidRPr="00B3440A">
        <w:t xml:space="preserve">credits may be withdrawn from the bank and netted against usage in a subsequent billing cycle.  The kWh </w:t>
      </w:r>
      <w:r w:rsidR="00D410CD">
        <w:t xml:space="preserve">or </w:t>
      </w:r>
      <w:r w:rsidR="00202377">
        <w:t>b</w:t>
      </w:r>
      <w:r w:rsidR="00D410CD">
        <w:t xml:space="preserve">ill </w:t>
      </w:r>
      <w:r w:rsidRPr="00B3440A">
        <w:t xml:space="preserve">credits are withdrawn from the bank on a first in, first out basis.  Any kWh </w:t>
      </w:r>
      <w:r w:rsidR="00D410CD">
        <w:t xml:space="preserve">or </w:t>
      </w:r>
      <w:r w:rsidR="00202377">
        <w:t>b</w:t>
      </w:r>
      <w:r w:rsidR="00D410CD">
        <w:t xml:space="preserve">ill </w:t>
      </w:r>
      <w:r w:rsidRPr="00B3440A">
        <w:t xml:space="preserve">credits will remain in the bank </w:t>
      </w:r>
      <w:r w:rsidR="000F6541">
        <w:t>on a</w:t>
      </w:r>
      <w:r w:rsidRPr="00B3440A">
        <w:t xml:space="preserve"> </w:t>
      </w:r>
      <w:r w:rsidR="00964057">
        <w:t xml:space="preserve">rolling </w:t>
      </w:r>
      <w:r w:rsidR="00D410CD">
        <w:t xml:space="preserve">12 </w:t>
      </w:r>
      <w:r w:rsidRPr="00B3440A">
        <w:t>month billing cycle</w:t>
      </w:r>
      <w:r w:rsidR="000F6541">
        <w:t xml:space="preserve"> basis</w:t>
      </w:r>
      <w:r w:rsidRPr="00B3440A">
        <w:t>.</w:t>
      </w:r>
      <w:r>
        <w:t xml:space="preserve"> </w:t>
      </w:r>
      <w:r w:rsidR="00BC6406" w:rsidRPr="0099698D">
        <w:t xml:space="preserve">At the conclusion of each monthly billing cycle, CMP will remove from the bank any unused credits that have reached their 12-month expiration.  For example, unused kWh </w:t>
      </w:r>
      <w:r w:rsidR="00AF3E43">
        <w:t xml:space="preserve">or </w:t>
      </w:r>
      <w:r w:rsidR="00202377">
        <w:t>b</w:t>
      </w:r>
      <w:r w:rsidR="00D410CD">
        <w:t xml:space="preserve">ill </w:t>
      </w:r>
      <w:r w:rsidR="00BC6406" w:rsidRPr="0099698D">
        <w:t>credits banked in June of 201</w:t>
      </w:r>
      <w:r w:rsidR="00AF3E43">
        <w:t>9</w:t>
      </w:r>
      <w:r w:rsidR="00BC6406" w:rsidRPr="0099698D">
        <w:t xml:space="preserve"> must </w:t>
      </w:r>
      <w:r w:rsidR="00BC6406">
        <w:t xml:space="preserve">be </w:t>
      </w:r>
      <w:r w:rsidR="00BC6406" w:rsidRPr="0099698D">
        <w:t>used by June of 20</w:t>
      </w:r>
      <w:r w:rsidR="00AF3E43">
        <w:t>20</w:t>
      </w:r>
      <w:r w:rsidR="00BC6406" w:rsidRPr="0099698D">
        <w:t xml:space="preserve">.  If not, they will </w:t>
      </w:r>
      <w:r w:rsidR="00964057">
        <w:t xml:space="preserve">be eliminated, and </w:t>
      </w:r>
      <w:r w:rsidR="00BC6406" w:rsidRPr="0099698D">
        <w:t>removed from the bank</w:t>
      </w:r>
      <w:r w:rsidR="00964057">
        <w:t>.</w:t>
      </w:r>
    </w:p>
    <w:p w14:paraId="7C5D474D" w14:textId="77777777" w:rsidR="00BC6406" w:rsidRPr="0099698D" w:rsidRDefault="00BC6406" w:rsidP="00BC6406">
      <w:pPr>
        <w:rPr>
          <w:b/>
        </w:rPr>
      </w:pPr>
    </w:p>
    <w:p w14:paraId="21856297" w14:textId="77777777" w:rsidR="00BC6406" w:rsidRPr="0099698D" w:rsidRDefault="00D410CD" w:rsidP="00BC6406">
      <w:pPr>
        <w:rPr>
          <w:b/>
        </w:rPr>
      </w:pPr>
      <w:r>
        <w:rPr>
          <w:b/>
        </w:rPr>
        <w:t>9</w:t>
      </w:r>
      <w:r w:rsidR="00BC6406" w:rsidRPr="0099698D">
        <w:rPr>
          <w:b/>
        </w:rPr>
        <w:t>.  What do I need for an inverter?</w:t>
      </w:r>
    </w:p>
    <w:p w14:paraId="1523FA06" w14:textId="77777777" w:rsidR="00BC6406" w:rsidRPr="0099698D" w:rsidRDefault="00BC6406" w:rsidP="00BC6406">
      <w:r w:rsidRPr="0099698D">
        <w:t>A grid-tie inverter that meets the UL 1741 or IEEE 1547 standard is required for parallel operation with the CMP system.  Inverters that meet these national standards include protective relay systems that ensure that if CMP’s distribution system experiences an outage, then your inverter will shut your system down so that it cannot back-feed into CMP’s system.</w:t>
      </w:r>
    </w:p>
    <w:p w14:paraId="203B7061" w14:textId="77777777" w:rsidR="00BC6406" w:rsidRPr="0099698D" w:rsidRDefault="00BC6406" w:rsidP="00BC6406"/>
    <w:p w14:paraId="2352F58F" w14:textId="77777777" w:rsidR="00202377" w:rsidRDefault="00202377" w:rsidP="00BC6406">
      <w:pPr>
        <w:rPr>
          <w:b/>
        </w:rPr>
      </w:pPr>
    </w:p>
    <w:p w14:paraId="40A32AE4" w14:textId="77777777" w:rsidR="00202377" w:rsidRDefault="00202377" w:rsidP="00BC6406">
      <w:pPr>
        <w:rPr>
          <w:b/>
        </w:rPr>
      </w:pPr>
    </w:p>
    <w:p w14:paraId="4EB152A8" w14:textId="77777777" w:rsidR="00BC6406" w:rsidRPr="0099698D" w:rsidRDefault="008720C0" w:rsidP="00BC6406">
      <w:pPr>
        <w:rPr>
          <w:b/>
        </w:rPr>
      </w:pPr>
      <w:r>
        <w:rPr>
          <w:b/>
        </w:rPr>
        <w:lastRenderedPageBreak/>
        <w:t>1</w:t>
      </w:r>
      <w:r w:rsidR="00D410CD">
        <w:rPr>
          <w:b/>
        </w:rPr>
        <w:t>0</w:t>
      </w:r>
      <w:r w:rsidR="00BC6406" w:rsidRPr="0099698D">
        <w:rPr>
          <w:b/>
        </w:rPr>
        <w:t>.  Do I need to notify CMP prior to operating the generator?</w:t>
      </w:r>
    </w:p>
    <w:p w14:paraId="03BCCB1B" w14:textId="77777777" w:rsidR="00596306" w:rsidRDefault="00BC6406" w:rsidP="00BC6406">
      <w:pPr>
        <w:rPr>
          <w:rStyle w:val="Hyperlink"/>
          <w:color w:val="auto"/>
          <w:u w:val="none"/>
        </w:rPr>
      </w:pPr>
      <w:r w:rsidRPr="0099698D">
        <w:t xml:space="preserve">Yes, you must sign an Interconnection Agreement with CMP before you operate </w:t>
      </w:r>
      <w:r w:rsidR="00D3778C">
        <w:t>any</w:t>
      </w:r>
      <w:r w:rsidRPr="0099698D">
        <w:t xml:space="preserve"> generator in parallel with CMP’s system.  Please refer to the Small Generator Interconnection Procedures also listed on the CMP website for information on how to enter into an Interconnection Agreement</w:t>
      </w:r>
      <w:r w:rsidR="00C43AF3">
        <w:t>.</w:t>
      </w:r>
      <w:r w:rsidR="00ED4B62">
        <w:t xml:space="preserve"> </w:t>
      </w:r>
      <w:hyperlink r:id="rId9" w:history="1">
        <w:r w:rsidR="00C43AF3" w:rsidRPr="00D3778C">
          <w:rPr>
            <w:rStyle w:val="Hyperlink"/>
          </w:rPr>
          <w:t>http://www.cmpco.com</w:t>
        </w:r>
      </w:hyperlink>
      <w:r w:rsidR="00C43AF3" w:rsidRPr="00D3778C">
        <w:rPr>
          <w:rStyle w:val="Hyperlink"/>
          <w:u w:val="none"/>
        </w:rPr>
        <w:t>.</w:t>
      </w:r>
      <w:r w:rsidR="00D410CD" w:rsidRPr="00D3778C" w:rsidDel="00D410CD">
        <w:rPr>
          <w:rStyle w:val="Hyperlink"/>
          <w:color w:val="auto"/>
          <w:u w:val="none"/>
        </w:rPr>
        <w:t xml:space="preserve"> </w:t>
      </w:r>
    </w:p>
    <w:p w14:paraId="7CC876A3" w14:textId="77777777" w:rsidR="00596306" w:rsidRDefault="00596306" w:rsidP="00BC6406">
      <w:pPr>
        <w:rPr>
          <w:rStyle w:val="Hyperlink"/>
          <w:color w:val="auto"/>
          <w:u w:val="none"/>
        </w:rPr>
      </w:pPr>
    </w:p>
    <w:p w14:paraId="317C5562" w14:textId="77777777" w:rsidR="00BC6406" w:rsidRPr="0099698D" w:rsidRDefault="008720C0" w:rsidP="00BC6406">
      <w:pPr>
        <w:rPr>
          <w:b/>
        </w:rPr>
      </w:pPr>
      <w:r>
        <w:rPr>
          <w:b/>
        </w:rPr>
        <w:t>1</w:t>
      </w:r>
      <w:r w:rsidR="00D410CD">
        <w:rPr>
          <w:b/>
        </w:rPr>
        <w:t>1</w:t>
      </w:r>
      <w:r w:rsidR="00BC6406" w:rsidRPr="0099698D">
        <w:rPr>
          <w:b/>
        </w:rPr>
        <w:t>.  Will CMP’s meter record all of the generation from my renewable generator?</w:t>
      </w:r>
    </w:p>
    <w:p w14:paraId="09E46859" w14:textId="77777777" w:rsidR="003B7637" w:rsidRDefault="008720C0" w:rsidP="00BC6406">
      <w:r>
        <w:t xml:space="preserve">No if the generator is located behind a customer’s </w:t>
      </w:r>
      <w:r w:rsidR="00596306">
        <w:t>usage</w:t>
      </w:r>
      <w:r w:rsidR="00ED4B62">
        <w:t xml:space="preserve"> CMP installs and bills on meter data from a bidirectional net meter which will record both net usage and net outflow. </w:t>
      </w:r>
      <w:r w:rsidR="00BC6406" w:rsidRPr="0099698D">
        <w:t>If your</w:t>
      </w:r>
      <w:r w:rsidR="00BC6406">
        <w:t xml:space="preserve"> </w:t>
      </w:r>
      <w:r w:rsidR="00BC6406" w:rsidRPr="0099698D">
        <w:t>electric usage is less than what your generator is producing, then the excess generation will be recorded by the net “out” meter</w:t>
      </w:r>
      <w:r w:rsidR="00BC6406">
        <w:t xml:space="preserve"> </w:t>
      </w:r>
      <w:r w:rsidR="00BC6406" w:rsidRPr="0099698D">
        <w:t>if you have a dual meter system.</w:t>
      </w:r>
      <w:r w:rsidR="00AF3E43">
        <w:t xml:space="preserve"> However, discrete electric generating systems that are located separately from the customers load will record nearly all of the </w:t>
      </w:r>
      <w:r w:rsidR="00596306">
        <w:t>customer</w:t>
      </w:r>
      <w:r w:rsidR="003B7637">
        <w:t xml:space="preserve"> </w:t>
      </w:r>
      <w:r w:rsidR="00AF3E43">
        <w:t>generation.</w:t>
      </w:r>
      <w:r w:rsidR="00596306" w:rsidDel="00596306">
        <w:t xml:space="preserve"> </w:t>
      </w:r>
    </w:p>
    <w:p w14:paraId="1A83C659" w14:textId="77777777" w:rsidR="003B7637" w:rsidRDefault="003B7637" w:rsidP="00BC6406"/>
    <w:p w14:paraId="4C5CF7A8" w14:textId="77777777" w:rsidR="003B7637" w:rsidRDefault="005E2686" w:rsidP="00BC6406">
      <w:pPr>
        <w:rPr>
          <w:b/>
        </w:rPr>
      </w:pPr>
      <w:r>
        <w:rPr>
          <w:b/>
        </w:rPr>
        <w:t>1</w:t>
      </w:r>
      <w:r w:rsidR="00D410CD">
        <w:rPr>
          <w:b/>
        </w:rPr>
        <w:t>2</w:t>
      </w:r>
      <w:r>
        <w:rPr>
          <w:b/>
        </w:rPr>
        <w:t xml:space="preserve">. </w:t>
      </w:r>
      <w:r w:rsidR="00596306">
        <w:rPr>
          <w:b/>
        </w:rPr>
        <w:t>Will CMP have to change my meter</w:t>
      </w:r>
      <w:r w:rsidR="003B7637">
        <w:rPr>
          <w:b/>
        </w:rPr>
        <w:t xml:space="preserve"> to provide credit under the net energy billing program?</w:t>
      </w:r>
    </w:p>
    <w:p w14:paraId="2595D222" w14:textId="77777777" w:rsidR="003B7637" w:rsidRDefault="003B7637" w:rsidP="003B7637">
      <w:r>
        <w:t xml:space="preserve">Most customers that </w:t>
      </w:r>
      <w:r w:rsidR="000F6541">
        <w:t xml:space="preserve">receive </w:t>
      </w:r>
      <w:r>
        <w:t>kWh credit will not require a meter change. If a customer already has an AMI meter, CMP can reconfigure the meter remotely to provide generation data for billing</w:t>
      </w:r>
      <w:r>
        <w:rPr>
          <w:b/>
        </w:rPr>
        <w:t xml:space="preserve">. </w:t>
      </w:r>
      <w:r>
        <w:t>If the customer is an opt-out customer who does not want AMI meters installed, CMP will  install a meter adaptor which will include two separate meters; one for usage and one for generation.</w:t>
      </w:r>
    </w:p>
    <w:p w14:paraId="7FAB1D9E" w14:textId="77777777" w:rsidR="003B7637" w:rsidRDefault="003B7637" w:rsidP="003B7637"/>
    <w:p w14:paraId="629C2A3C" w14:textId="77777777" w:rsidR="003B7637" w:rsidRDefault="003B7637" w:rsidP="003B7637">
      <w:r>
        <w:t>Municipal customers who may have generation greater than 4.999 MWh/hr and tariff rate customers who receive a bill credit both require revenue quality meters that record hourly generation. Tariff rate customers will also require a telephone line to enable CMP to download hourly generation on a daily basis.</w:t>
      </w:r>
    </w:p>
    <w:p w14:paraId="1C0D391C" w14:textId="77777777" w:rsidR="00B3440A" w:rsidRDefault="003B7637" w:rsidP="00BC6406">
      <w:pPr>
        <w:rPr>
          <w:b/>
        </w:rPr>
      </w:pPr>
      <w:r>
        <w:t xml:space="preserve"> </w:t>
      </w:r>
    </w:p>
    <w:p w14:paraId="42549D92" w14:textId="77777777" w:rsidR="00BC6406" w:rsidRPr="003B7637" w:rsidRDefault="00BC6406" w:rsidP="00BC6406">
      <w:pPr>
        <w:rPr>
          <w:b/>
        </w:rPr>
      </w:pPr>
      <w:r>
        <w:rPr>
          <w:b/>
        </w:rPr>
        <w:t>1</w:t>
      </w:r>
      <w:r w:rsidR="00D410CD">
        <w:rPr>
          <w:b/>
        </w:rPr>
        <w:t>3</w:t>
      </w:r>
      <w:r>
        <w:rPr>
          <w:b/>
        </w:rPr>
        <w:t>. Who is responsible for the costs of the meter(s)?</w:t>
      </w:r>
    </w:p>
    <w:p w14:paraId="432DBEEF" w14:textId="77777777" w:rsidR="003B7637" w:rsidRDefault="00BC6406" w:rsidP="00BC6406">
      <w:r>
        <w:t xml:space="preserve">CMP is responsible for the </w:t>
      </w:r>
      <w:r w:rsidR="003B7637">
        <w:t xml:space="preserve">installation and </w:t>
      </w:r>
      <w:r>
        <w:t xml:space="preserve">cost of </w:t>
      </w:r>
      <w:r w:rsidR="003B7637">
        <w:t xml:space="preserve">the meter(s) for standard </w:t>
      </w:r>
      <w:r w:rsidR="00E44A4F">
        <w:t>kWh crediting contracts</w:t>
      </w:r>
      <w:r w:rsidR="003B7637">
        <w:t>.</w:t>
      </w:r>
      <w:r w:rsidR="00E44A4F">
        <w:t xml:space="preserve"> </w:t>
      </w:r>
      <w:r w:rsidR="003B7637">
        <w:t xml:space="preserve">The cost for non-standard meters such as those required for tariff rate customers will be </w:t>
      </w:r>
      <w:r w:rsidR="00202377">
        <w:t xml:space="preserve">the responsibility of </w:t>
      </w:r>
      <w:r w:rsidR="003B7637">
        <w:t xml:space="preserve"> the customer. The tariff rate customer is also responsible for the installation of a telephone line and any ongoing costs associated with the telephone line.</w:t>
      </w:r>
    </w:p>
    <w:p w14:paraId="4D02A8F2" w14:textId="77777777" w:rsidR="003B7637" w:rsidRDefault="003B7637" w:rsidP="00BC6406"/>
    <w:p w14:paraId="7A1828BF" w14:textId="77777777" w:rsidR="00BC6406" w:rsidRPr="0099698D" w:rsidRDefault="00BC6406" w:rsidP="00BC6406">
      <w:pPr>
        <w:rPr>
          <w:b/>
        </w:rPr>
      </w:pPr>
      <w:r w:rsidRPr="0099698D">
        <w:rPr>
          <w:b/>
        </w:rPr>
        <w:t>1</w:t>
      </w:r>
      <w:r w:rsidR="00D410CD">
        <w:rPr>
          <w:b/>
        </w:rPr>
        <w:t>4</w:t>
      </w:r>
      <w:r w:rsidRPr="0099698D">
        <w:rPr>
          <w:b/>
        </w:rPr>
        <w:t>.  Will I need a permit to install a generator?</w:t>
      </w:r>
    </w:p>
    <w:p w14:paraId="0BE0299E" w14:textId="77777777" w:rsidR="00BC6406" w:rsidRPr="0099698D" w:rsidRDefault="00BC6406" w:rsidP="00BC6406">
      <w:r w:rsidRPr="0099698D">
        <w:t xml:space="preserve">You </w:t>
      </w:r>
      <w:r w:rsidR="00AF3E43">
        <w:t xml:space="preserve">or your installer </w:t>
      </w:r>
      <w:r w:rsidRPr="0099698D">
        <w:t>will need to check with your</w:t>
      </w:r>
      <w:r>
        <w:t xml:space="preserve"> individual </w:t>
      </w:r>
      <w:r w:rsidRPr="0099698D">
        <w:t>town or city to see what is needed to comply with local permitting requirements.</w:t>
      </w:r>
    </w:p>
    <w:p w14:paraId="31A93A30" w14:textId="77777777" w:rsidR="00B3440A" w:rsidRDefault="00B3440A" w:rsidP="00BC6406">
      <w:pPr>
        <w:rPr>
          <w:b/>
        </w:rPr>
      </w:pPr>
    </w:p>
    <w:p w14:paraId="442A0839" w14:textId="77777777" w:rsidR="00BC6406" w:rsidRPr="0099698D" w:rsidRDefault="00BC6406" w:rsidP="00BC6406">
      <w:pPr>
        <w:rPr>
          <w:b/>
        </w:rPr>
      </w:pPr>
      <w:r w:rsidRPr="0099698D">
        <w:rPr>
          <w:b/>
        </w:rPr>
        <w:t>1</w:t>
      </w:r>
      <w:r w:rsidR="00D410CD">
        <w:rPr>
          <w:b/>
        </w:rPr>
        <w:t>5</w:t>
      </w:r>
      <w:r w:rsidRPr="0099698D">
        <w:rPr>
          <w:b/>
        </w:rPr>
        <w:t xml:space="preserve">.  Will CMP inspect my setup and charge me for the inspection?  </w:t>
      </w:r>
    </w:p>
    <w:p w14:paraId="1B8A42CF" w14:textId="77777777" w:rsidR="00BC6406" w:rsidRDefault="00BC6406" w:rsidP="00BC6406">
      <w:pPr>
        <w:rPr>
          <w:rStyle w:val="Hyperlink"/>
          <w:color w:val="auto"/>
          <w:u w:val="none"/>
        </w:rPr>
      </w:pPr>
      <w:r w:rsidRPr="0099698D">
        <w:t xml:space="preserve">CMP </w:t>
      </w:r>
      <w:r w:rsidRPr="00C749D2">
        <w:rPr>
          <w:u w:val="single"/>
        </w:rPr>
        <w:t>may</w:t>
      </w:r>
      <w:r w:rsidRPr="0099698D">
        <w:t xml:space="preserve"> inspect your installation depending upon the size of the system and the protective device (inverter) that is utilized.  There </w:t>
      </w:r>
      <w:r>
        <w:t>currently is</w:t>
      </w:r>
      <w:r w:rsidRPr="0099698D">
        <w:t xml:space="preserve"> no charge for the inspection.  You may also be required to conduct biennial testing and allow CMP to witness the test or access to the test reports or logs.</w:t>
      </w:r>
      <w:r>
        <w:t xml:space="preserve"> Please refer to the section of the CMP website specific to Chapter 324</w:t>
      </w:r>
      <w:r w:rsidR="00ED4B62">
        <w:t xml:space="preserve"> </w:t>
      </w:r>
      <w:r>
        <w:t>(see question 8)</w:t>
      </w:r>
      <w:r w:rsidR="003438F5">
        <w:t xml:space="preserve"> </w:t>
      </w:r>
      <w:r>
        <w:t>for current rules and potential changes to the interconnection process</w:t>
      </w:r>
      <w:r w:rsidRPr="00CC0A9B">
        <w:t>.</w:t>
      </w:r>
      <w:r w:rsidRPr="00CC0A9B">
        <w:rPr>
          <w:rStyle w:val="Hyperlink"/>
          <w:color w:val="auto"/>
          <w:u w:val="none"/>
        </w:rPr>
        <w:t xml:space="preserve"> Customers must submit a Certificate of Completion signed by a certified and/or licensed electrician or local code official indicating the system is set up according to Good Utility Practice and safe to operate.</w:t>
      </w:r>
    </w:p>
    <w:p w14:paraId="2231B959" w14:textId="77777777" w:rsidR="00D410CD" w:rsidRDefault="00D410CD" w:rsidP="00BC6406">
      <w:pPr>
        <w:rPr>
          <w:rStyle w:val="Hyperlink"/>
          <w:color w:val="auto"/>
          <w:u w:val="none"/>
        </w:rPr>
      </w:pPr>
    </w:p>
    <w:p w14:paraId="68A03D02" w14:textId="77777777" w:rsidR="00D410CD" w:rsidRDefault="00D410CD" w:rsidP="00BC6406">
      <w:pPr>
        <w:rPr>
          <w:rStyle w:val="Hyperlink"/>
          <w:color w:val="auto"/>
          <w:u w:val="none"/>
        </w:rPr>
      </w:pPr>
      <w:r>
        <w:rPr>
          <w:rStyle w:val="Hyperlink"/>
          <w:b/>
          <w:color w:val="auto"/>
          <w:u w:val="none"/>
        </w:rPr>
        <w:t>16. When do I start to receive credit on my bill?</w:t>
      </w:r>
    </w:p>
    <w:p w14:paraId="5ADBC306" w14:textId="502F4ECA" w:rsidR="00BC6406" w:rsidRPr="00CC0A9B" w:rsidRDefault="00D410CD" w:rsidP="00BC6406">
      <w:r>
        <w:rPr>
          <w:rStyle w:val="Hyperlink"/>
          <w:color w:val="auto"/>
          <w:u w:val="none"/>
        </w:rPr>
        <w:t xml:space="preserve">CMP must be in possession of the signature pages of the Customer Net Energy Billing and Interconnection Agreements and a signed and approve Certificate of Completion before we can set the customer up in our billing system. </w:t>
      </w:r>
    </w:p>
    <w:p w14:paraId="3BD5A8C7" w14:textId="77777777" w:rsidR="00BC6406" w:rsidRPr="0099698D" w:rsidRDefault="00BC6406" w:rsidP="00BC6406">
      <w:pPr>
        <w:rPr>
          <w:b/>
        </w:rPr>
      </w:pPr>
      <w:r w:rsidRPr="0099698D">
        <w:rPr>
          <w:b/>
        </w:rPr>
        <w:lastRenderedPageBreak/>
        <w:t>1</w:t>
      </w:r>
      <w:r w:rsidR="008720C0">
        <w:rPr>
          <w:b/>
        </w:rPr>
        <w:t>7</w:t>
      </w:r>
      <w:r w:rsidRPr="0099698D">
        <w:rPr>
          <w:b/>
        </w:rPr>
        <w:t>.  Does CMP have any information on wind</w:t>
      </w:r>
      <w:r w:rsidR="00E44A4F">
        <w:rPr>
          <w:b/>
        </w:rPr>
        <w:t xml:space="preserve">, </w:t>
      </w:r>
      <w:r w:rsidRPr="0099698D">
        <w:rPr>
          <w:b/>
        </w:rPr>
        <w:t xml:space="preserve">photovoltaic </w:t>
      </w:r>
      <w:r w:rsidR="00E44A4F">
        <w:rPr>
          <w:b/>
        </w:rPr>
        <w:t>or other types of systems that qualify under Chapter 313</w:t>
      </w:r>
      <w:r w:rsidRPr="0099698D">
        <w:rPr>
          <w:b/>
        </w:rPr>
        <w:t>?</w:t>
      </w:r>
    </w:p>
    <w:p w14:paraId="0EB8ADD7" w14:textId="77777777" w:rsidR="00BC6406" w:rsidRPr="0099698D" w:rsidRDefault="00BC6406" w:rsidP="00BC6406">
      <w:r w:rsidRPr="0099698D">
        <w:t xml:space="preserve">No, CMP does not </w:t>
      </w:r>
      <w:r>
        <w:t>provide information on specific types of systems.</w:t>
      </w:r>
      <w:r w:rsidRPr="0099698D">
        <w:t xml:space="preserve">  You should contact either Efficiency Maine or an installer</w:t>
      </w:r>
      <w:r>
        <w:t xml:space="preserve"> for this type of information</w:t>
      </w:r>
      <w:r w:rsidRPr="0099698D">
        <w:t>.</w:t>
      </w:r>
    </w:p>
    <w:p w14:paraId="5DF1D8E3" w14:textId="77777777" w:rsidR="00D3778C" w:rsidRDefault="00D3778C" w:rsidP="00BC6406">
      <w:pPr>
        <w:rPr>
          <w:b/>
        </w:rPr>
      </w:pPr>
    </w:p>
    <w:p w14:paraId="221A56C1" w14:textId="77777777" w:rsidR="00BC6406" w:rsidRPr="0099698D" w:rsidRDefault="00BC6406" w:rsidP="00BC6406">
      <w:pPr>
        <w:rPr>
          <w:b/>
        </w:rPr>
      </w:pPr>
      <w:r w:rsidRPr="0099698D">
        <w:rPr>
          <w:b/>
        </w:rPr>
        <w:t>1</w:t>
      </w:r>
      <w:r w:rsidR="008720C0">
        <w:rPr>
          <w:b/>
        </w:rPr>
        <w:t>8</w:t>
      </w:r>
      <w:r w:rsidRPr="0099698D">
        <w:rPr>
          <w:b/>
        </w:rPr>
        <w:t xml:space="preserve">.  Does CMP have a list of dealer and installers?  </w:t>
      </w:r>
    </w:p>
    <w:p w14:paraId="677EFF3B" w14:textId="77777777" w:rsidR="00BC6406" w:rsidRPr="0099698D" w:rsidRDefault="00BC6406" w:rsidP="00BC6406">
      <w:r w:rsidRPr="0099698D">
        <w:t>No, CMP does not have such a list nor is CMP allowed to make any recommendations.</w:t>
      </w:r>
    </w:p>
    <w:p w14:paraId="0E126177" w14:textId="77777777" w:rsidR="00BC6406" w:rsidRDefault="00BC6406" w:rsidP="00BC6406">
      <w:pPr>
        <w:rPr>
          <w:b/>
        </w:rPr>
      </w:pPr>
    </w:p>
    <w:p w14:paraId="7231BC56" w14:textId="77777777" w:rsidR="00BC6406" w:rsidRPr="0099698D" w:rsidRDefault="00964057" w:rsidP="00BC6406">
      <w:r>
        <w:rPr>
          <w:b/>
        </w:rPr>
        <w:t>19</w:t>
      </w:r>
      <w:r w:rsidR="00BC6406" w:rsidRPr="0099698D">
        <w:rPr>
          <w:b/>
        </w:rPr>
        <w:t>. How do I know how much energy my system generated?</w:t>
      </w:r>
    </w:p>
    <w:p w14:paraId="79133297" w14:textId="77777777" w:rsidR="00D410CD" w:rsidRDefault="00ED4B62" w:rsidP="00BC6406">
      <w:r>
        <w:t xml:space="preserve">The </w:t>
      </w:r>
      <w:r w:rsidR="00AF3E43">
        <w:t xml:space="preserve">typical </w:t>
      </w:r>
      <w:r w:rsidR="00BC6406" w:rsidRPr="0099698D">
        <w:t xml:space="preserve">CMP meter only records the “net” in or out flow and will not record </w:t>
      </w:r>
      <w:r w:rsidR="00964057">
        <w:t>gross</w:t>
      </w:r>
      <w:r w:rsidR="00BC6406" w:rsidRPr="0099698D">
        <w:t xml:space="preserve"> usage or </w:t>
      </w:r>
      <w:r w:rsidR="00964057">
        <w:t>gross</w:t>
      </w:r>
      <w:r w:rsidR="00BC6406" w:rsidRPr="0099698D">
        <w:t xml:space="preserve"> generation. Most grid-tie inverters will calculate and display the total generation produced from a specific system. If the Customer’s inverter does not have this feature the only option the customer may wish to purchase and install a utility grade meter between the generation source and the breaker panel.</w:t>
      </w:r>
      <w:r w:rsidR="00D410CD" w:rsidDel="00D410CD">
        <w:t xml:space="preserve"> </w:t>
      </w:r>
      <w:r w:rsidR="00D410CD">
        <w:t xml:space="preserve"> Revenue quality meters installed for bill credit systems will calculate total generation. </w:t>
      </w:r>
    </w:p>
    <w:p w14:paraId="7088B4BA" w14:textId="77777777" w:rsidR="00D410CD" w:rsidRDefault="00D410CD" w:rsidP="00BC6406"/>
    <w:p w14:paraId="478A36BC" w14:textId="77777777" w:rsidR="00BC6406" w:rsidRPr="0099698D" w:rsidRDefault="008720C0" w:rsidP="00BC6406">
      <w:pPr>
        <w:rPr>
          <w:b/>
        </w:rPr>
      </w:pPr>
      <w:r>
        <w:rPr>
          <w:b/>
        </w:rPr>
        <w:t>2</w:t>
      </w:r>
      <w:r w:rsidR="00964057">
        <w:rPr>
          <w:b/>
        </w:rPr>
        <w:t>0</w:t>
      </w:r>
      <w:r w:rsidR="00BC6406" w:rsidRPr="0099698D">
        <w:rPr>
          <w:b/>
        </w:rPr>
        <w:t xml:space="preserve">. Can I offset additional accounts with excess energy </w:t>
      </w:r>
      <w:r w:rsidR="00D410CD">
        <w:rPr>
          <w:b/>
        </w:rPr>
        <w:t xml:space="preserve">kWh’s </w:t>
      </w:r>
      <w:r w:rsidR="00BC6406" w:rsidRPr="0099698D">
        <w:rPr>
          <w:b/>
        </w:rPr>
        <w:t>produced from my generator?</w:t>
      </w:r>
    </w:p>
    <w:p w14:paraId="1C62AB2F" w14:textId="77777777" w:rsidR="008720C0" w:rsidRDefault="00BC6406" w:rsidP="00BC6406">
      <w:r w:rsidRPr="0099698D">
        <w:t xml:space="preserve">Yes, Chapter 313 allows </w:t>
      </w:r>
      <w:r w:rsidR="00AF3E43">
        <w:t>unlimited number of</w:t>
      </w:r>
      <w:r w:rsidRPr="0099698D">
        <w:t xml:space="preserve"> accounts per net energy billing agreement. The primary or facility account is the account where the generator is located. </w:t>
      </w:r>
      <w:r w:rsidR="00D410CD">
        <w:t xml:space="preserve">Pursuant to the net energy billing agreements the </w:t>
      </w:r>
      <w:r>
        <w:t xml:space="preserve">customer </w:t>
      </w:r>
      <w:r w:rsidR="00202377">
        <w:t>can chose to have</w:t>
      </w:r>
      <w:r>
        <w:t xml:space="preserve"> excess credits  be applied based upon cascading or percentage allocation. </w:t>
      </w:r>
    </w:p>
    <w:p w14:paraId="104DD83C" w14:textId="77777777" w:rsidR="008720C0" w:rsidRDefault="008720C0" w:rsidP="00BC6406"/>
    <w:p w14:paraId="156D2514" w14:textId="77777777" w:rsidR="00964057" w:rsidRDefault="008720C0" w:rsidP="00BC6406">
      <w:r>
        <w:t xml:space="preserve">For single ownership/multiple account contracts all account names need to be the same. The customer must call the CMP Customer Relations Center at 1-800-750-4000 to request this change. </w:t>
      </w:r>
    </w:p>
    <w:p w14:paraId="17343B59" w14:textId="77777777" w:rsidR="00964057" w:rsidRDefault="00964057" w:rsidP="00BC6406"/>
    <w:p w14:paraId="49D578F5" w14:textId="41EE83FC" w:rsidR="008720C0" w:rsidRDefault="008720C0" w:rsidP="00BC6406">
      <w:r>
        <w:t xml:space="preserve">For all other multiple account contracts regardless of crediting type (kWh or </w:t>
      </w:r>
      <w:r w:rsidR="00D410CD">
        <w:t>bill credit</w:t>
      </w:r>
      <w:r>
        <w:t xml:space="preserve">) an affidavit must be </w:t>
      </w:r>
      <w:r w:rsidR="002F5F39">
        <w:t xml:space="preserve">signed and notarized </w:t>
      </w:r>
      <w:r>
        <w:t xml:space="preserve">attesting to financial interest in the facility. </w:t>
      </w:r>
    </w:p>
    <w:p w14:paraId="1D8E2E9D" w14:textId="77777777" w:rsidR="008720C0" w:rsidRDefault="008720C0" w:rsidP="00BC6406"/>
    <w:p w14:paraId="729F0E2E" w14:textId="77777777" w:rsidR="00BC6406" w:rsidRPr="0099698D" w:rsidRDefault="00BC6406" w:rsidP="00BC6406">
      <w:r>
        <w:t>Regardless of which option is chosen</w:t>
      </w:r>
      <w:r w:rsidRPr="0099698D">
        <w:t xml:space="preserve"> all accounts, both primary and secondary, must be in the same </w:t>
      </w:r>
      <w:r w:rsidR="008720C0">
        <w:t xml:space="preserve">read </w:t>
      </w:r>
      <w:r w:rsidRPr="0099698D">
        <w:t>cycle</w:t>
      </w:r>
      <w:r w:rsidR="008720C0">
        <w:t xml:space="preserve"> in order to bill properly</w:t>
      </w:r>
      <w:r w:rsidRPr="0099698D">
        <w:t xml:space="preserve">. If the secondary account’s read date is different than the primary account CMP will make the read dates match. </w:t>
      </w:r>
      <w:r w:rsidR="008720C0">
        <w:t xml:space="preserve">This may take up to 2 additional bill periods to affect the change. </w:t>
      </w:r>
    </w:p>
    <w:p w14:paraId="5AEFF00C" w14:textId="77777777" w:rsidR="00B3440A" w:rsidRDefault="00B3440A" w:rsidP="00BC6406">
      <w:pPr>
        <w:rPr>
          <w:b/>
        </w:rPr>
      </w:pPr>
    </w:p>
    <w:p w14:paraId="41D8E795" w14:textId="77777777" w:rsidR="00BC6406" w:rsidRPr="0099698D" w:rsidRDefault="005E2686" w:rsidP="00BC6406">
      <w:r>
        <w:rPr>
          <w:b/>
        </w:rPr>
        <w:t>2</w:t>
      </w:r>
      <w:r w:rsidR="00964057">
        <w:rPr>
          <w:b/>
        </w:rPr>
        <w:t>1</w:t>
      </w:r>
      <w:r w:rsidR="00BC6406" w:rsidRPr="0099698D">
        <w:rPr>
          <w:b/>
        </w:rPr>
        <w:t xml:space="preserve">. </w:t>
      </w:r>
      <w:r w:rsidR="00934C6E">
        <w:rPr>
          <w:b/>
        </w:rPr>
        <w:t>What is the difference in the banking procedure for cascading versus percentage allocation</w:t>
      </w:r>
      <w:r w:rsidR="00BC6406" w:rsidRPr="0099698D">
        <w:rPr>
          <w:b/>
        </w:rPr>
        <w:t>?</w:t>
      </w:r>
    </w:p>
    <w:p w14:paraId="39391632" w14:textId="77777777" w:rsidR="00934C6E" w:rsidRDefault="00934C6E" w:rsidP="00BC6406"/>
    <w:p w14:paraId="5E15588D" w14:textId="77777777" w:rsidR="00596306" w:rsidRDefault="00934C6E" w:rsidP="00596306">
      <w:pPr>
        <w:numPr>
          <w:ilvl w:val="0"/>
          <w:numId w:val="19"/>
        </w:numPr>
      </w:pPr>
      <w:r>
        <w:t>Cascad</w:t>
      </w:r>
      <w:r w:rsidR="00596306">
        <w:t>ing</w:t>
      </w:r>
      <w:r>
        <w:t>: If the facility account is selected as one of the accounts to receive kWh credit any e</w:t>
      </w:r>
      <w:r w:rsidR="00BC6406" w:rsidRPr="0099698D">
        <w:t xml:space="preserve">xcess energy produced during </w:t>
      </w:r>
      <w:r>
        <w:t>the</w:t>
      </w:r>
      <w:r w:rsidR="00BC6406" w:rsidRPr="0099698D">
        <w:t xml:space="preserve"> billing cycle will </w:t>
      </w:r>
      <w:r>
        <w:t xml:space="preserve">banked at the facility account. If the facility account is not chosen to receive kWh credit any banked energy will be stored at the first account listed in the cascade order. </w:t>
      </w:r>
      <w:r w:rsidR="00596306">
        <w:t>If the net energy billing agreement receives bill credits the bank will be stored at the first account to receive an allocation in the cascade order.</w:t>
      </w:r>
    </w:p>
    <w:p w14:paraId="73F2F1A3" w14:textId="77777777" w:rsidR="008720C0" w:rsidRPr="0099698D" w:rsidRDefault="00596306" w:rsidP="00596306">
      <w:pPr>
        <w:numPr>
          <w:ilvl w:val="0"/>
          <w:numId w:val="19"/>
        </w:numPr>
      </w:pPr>
      <w:r>
        <w:t xml:space="preserve">Percentage: Each account that receives a percentage allocation </w:t>
      </w:r>
      <w:r w:rsidR="003B7637">
        <w:t xml:space="preserve">of the generation </w:t>
      </w:r>
      <w:r>
        <w:t>may create its own bank. Banked energy stays with the respective account and cannot be moved among accounts.</w:t>
      </w:r>
      <w:r w:rsidRPr="0099698D" w:rsidDel="00596306">
        <w:t xml:space="preserve"> </w:t>
      </w:r>
    </w:p>
    <w:p w14:paraId="4A2CE0F1" w14:textId="77777777" w:rsidR="008720C0" w:rsidRDefault="008720C0" w:rsidP="00BC6406">
      <w:pPr>
        <w:rPr>
          <w:b/>
        </w:rPr>
      </w:pPr>
    </w:p>
    <w:p w14:paraId="36BE5897" w14:textId="77777777" w:rsidR="00964057" w:rsidRDefault="00964057" w:rsidP="00BC6406">
      <w:pPr>
        <w:rPr>
          <w:b/>
        </w:rPr>
      </w:pPr>
    </w:p>
    <w:p w14:paraId="3F5966EE" w14:textId="77777777" w:rsidR="003B7637" w:rsidRDefault="003B7637" w:rsidP="00BC6406">
      <w:pPr>
        <w:rPr>
          <w:b/>
        </w:rPr>
      </w:pPr>
    </w:p>
    <w:p w14:paraId="63CE9CA3" w14:textId="77777777" w:rsidR="003B7637" w:rsidRDefault="003B7637" w:rsidP="00BC6406">
      <w:pPr>
        <w:rPr>
          <w:b/>
        </w:rPr>
      </w:pPr>
    </w:p>
    <w:p w14:paraId="085C13CD" w14:textId="77777777" w:rsidR="003438F5" w:rsidRPr="003438F5" w:rsidRDefault="003438F5" w:rsidP="00BC6406">
      <w:pPr>
        <w:rPr>
          <w:b/>
        </w:rPr>
      </w:pPr>
      <w:r w:rsidRPr="003438F5">
        <w:rPr>
          <w:b/>
        </w:rPr>
        <w:t>2</w:t>
      </w:r>
      <w:r w:rsidR="00964057">
        <w:rPr>
          <w:b/>
        </w:rPr>
        <w:t>2</w:t>
      </w:r>
      <w:r w:rsidRPr="003438F5">
        <w:rPr>
          <w:b/>
        </w:rPr>
        <w:t xml:space="preserve">. </w:t>
      </w:r>
      <w:r>
        <w:rPr>
          <w:b/>
        </w:rPr>
        <w:t>H</w:t>
      </w:r>
      <w:r w:rsidRPr="003438F5">
        <w:rPr>
          <w:b/>
        </w:rPr>
        <w:t xml:space="preserve">ow do I make modifications to my existing </w:t>
      </w:r>
      <w:r>
        <w:rPr>
          <w:b/>
        </w:rPr>
        <w:t xml:space="preserve">net metering </w:t>
      </w:r>
      <w:r w:rsidRPr="003438F5">
        <w:rPr>
          <w:b/>
        </w:rPr>
        <w:t>agreement?</w:t>
      </w:r>
    </w:p>
    <w:p w14:paraId="4F70593E" w14:textId="77777777" w:rsidR="000F6541" w:rsidRDefault="00596306" w:rsidP="00596306">
      <w:pPr>
        <w:rPr>
          <w:rFonts w:eastAsia="Times New Roman"/>
          <w:lang w:eastAsia="en-US"/>
        </w:rPr>
      </w:pPr>
      <w:r w:rsidRPr="00596306">
        <w:t xml:space="preserve">Only the </w:t>
      </w:r>
      <w:r>
        <w:t xml:space="preserve">customer or their designated </w:t>
      </w:r>
      <w:r w:rsidRPr="00596306">
        <w:t>Project Sponsor has the authority to request modification to th</w:t>
      </w:r>
      <w:r>
        <w:t>e</w:t>
      </w:r>
      <w:r w:rsidRPr="00596306">
        <w:t xml:space="preserve"> </w:t>
      </w:r>
      <w:r>
        <w:t xml:space="preserve">net metering </w:t>
      </w:r>
      <w:r w:rsidRPr="00596306">
        <w:t>agreement</w:t>
      </w:r>
      <w:r>
        <w:t xml:space="preserve">. </w:t>
      </w:r>
      <w:r w:rsidRPr="00891481">
        <w:rPr>
          <w:rFonts w:eastAsia="Times New Roman"/>
          <w:lang w:eastAsia="en-US"/>
        </w:rPr>
        <w:t xml:space="preserve">The Customer, upon thirty (30) days written notice to </w:t>
      </w:r>
      <w:r w:rsidR="000F6541">
        <w:rPr>
          <w:rFonts w:eastAsia="Times New Roman"/>
          <w:lang w:eastAsia="en-US"/>
        </w:rPr>
        <w:t>the Company,</w:t>
      </w:r>
      <w:r w:rsidRPr="00891481">
        <w:rPr>
          <w:rFonts w:eastAsia="Times New Roman"/>
          <w:lang w:eastAsia="en-US"/>
        </w:rPr>
        <w:t xml:space="preserve"> in accordance with the provision</w:t>
      </w:r>
      <w:r>
        <w:rPr>
          <w:rFonts w:eastAsia="Times New Roman"/>
          <w:lang w:eastAsia="en-US"/>
        </w:rPr>
        <w:t>s</w:t>
      </w:r>
      <w:r w:rsidRPr="00891481">
        <w:rPr>
          <w:rFonts w:eastAsia="Times New Roman"/>
          <w:lang w:eastAsia="en-US"/>
        </w:rPr>
        <w:t xml:space="preserve"> of the </w:t>
      </w:r>
      <w:r>
        <w:rPr>
          <w:rFonts w:eastAsia="Times New Roman"/>
          <w:lang w:eastAsia="en-US"/>
        </w:rPr>
        <w:t>net metering agreement</w:t>
      </w:r>
      <w:r w:rsidRPr="00891481">
        <w:rPr>
          <w:rFonts w:eastAsia="Times New Roman"/>
          <w:lang w:eastAsia="en-US"/>
        </w:rPr>
        <w:t xml:space="preserve">, may change a name or address to which </w:t>
      </w:r>
      <w:r>
        <w:rPr>
          <w:rFonts w:eastAsia="Times New Roman"/>
          <w:lang w:eastAsia="en-US"/>
        </w:rPr>
        <w:t>correspondence between the two parties takes place</w:t>
      </w:r>
      <w:r w:rsidRPr="00891481">
        <w:rPr>
          <w:rFonts w:eastAsia="Times New Roman"/>
          <w:lang w:eastAsia="en-US"/>
        </w:rPr>
        <w:t>.</w:t>
      </w:r>
      <w:r>
        <w:rPr>
          <w:rFonts w:eastAsia="Times New Roman"/>
          <w:lang w:eastAsia="en-US"/>
        </w:rPr>
        <w:t xml:space="preserve"> </w:t>
      </w:r>
    </w:p>
    <w:p w14:paraId="241C7B16" w14:textId="77777777" w:rsidR="000F6541" w:rsidRDefault="000F6541" w:rsidP="00596306">
      <w:pPr>
        <w:rPr>
          <w:rFonts w:eastAsia="Times New Roman"/>
          <w:lang w:eastAsia="en-US"/>
        </w:rPr>
      </w:pPr>
    </w:p>
    <w:p w14:paraId="73AAD37B" w14:textId="77777777" w:rsidR="00596306" w:rsidRDefault="00596306" w:rsidP="00BC6406">
      <w:r w:rsidRPr="00596306">
        <w:t xml:space="preserve">The </w:t>
      </w:r>
      <w:r>
        <w:t xml:space="preserve">customer or the </w:t>
      </w:r>
      <w:r w:rsidRPr="00596306">
        <w:t xml:space="preserve">Project Sponsor </w:t>
      </w:r>
      <w:r w:rsidR="000F6541">
        <w:t xml:space="preserve">must also notify the Company of any changes that affect the allocation of credits such as adding or removing accounts, changes to percentage allocation or the allocation order of accounts receiving credits through the cascading method. </w:t>
      </w:r>
    </w:p>
    <w:p w14:paraId="7B800360" w14:textId="77777777" w:rsidR="000F6541" w:rsidRDefault="000F6541" w:rsidP="00BC6406">
      <w:pPr>
        <w:rPr>
          <w:b/>
        </w:rPr>
      </w:pPr>
    </w:p>
    <w:p w14:paraId="790E7714" w14:textId="77777777" w:rsidR="005E2686" w:rsidRDefault="005E2686" w:rsidP="00BC6406">
      <w:r>
        <w:rPr>
          <w:b/>
        </w:rPr>
        <w:t>2</w:t>
      </w:r>
      <w:r w:rsidR="00596306">
        <w:rPr>
          <w:b/>
        </w:rPr>
        <w:t>3</w:t>
      </w:r>
      <w:r>
        <w:rPr>
          <w:b/>
        </w:rPr>
        <w:t>. If I sell my property and move to a new location can I transfer any banked credits to the new home?</w:t>
      </w:r>
    </w:p>
    <w:p w14:paraId="3AFB2830" w14:textId="77777777" w:rsidR="00BC6406" w:rsidRDefault="005E2686" w:rsidP="00BC6406">
      <w:pPr>
        <w:rPr>
          <w:b/>
        </w:rPr>
      </w:pPr>
      <w:r>
        <w:t>No. Banked credits stay with the facility account from which the energy w</w:t>
      </w:r>
      <w:r w:rsidR="00F2423F">
        <w:t>as</w:t>
      </w:r>
      <w:r>
        <w:t xml:space="preserve"> produced. If there is a break in ownership where the facility account becomes inactive any banked credits will be lost.</w:t>
      </w:r>
      <w:r w:rsidR="000F6541">
        <w:t xml:space="preserve"> The exception to this rule is for customers who have a financial interest in a shared facility, like a solar farm. As long as the customer has a valid Company account, current and banked credits can be kept by the customer.</w:t>
      </w:r>
      <w:r>
        <w:rPr>
          <w:b/>
        </w:rPr>
        <w:t xml:space="preserve"> </w:t>
      </w:r>
    </w:p>
    <w:p w14:paraId="50417EE5" w14:textId="77777777" w:rsidR="00B11167" w:rsidRDefault="00B11167" w:rsidP="00BC6406"/>
    <w:p w14:paraId="7BADFFA3" w14:textId="77777777" w:rsidR="00A84811" w:rsidRDefault="00A84811" w:rsidP="00BC6406">
      <w:r>
        <w:t xml:space="preserve">24.  </w:t>
      </w:r>
      <w:r w:rsidR="00584941">
        <w:t>Can I have battery storage?</w:t>
      </w:r>
    </w:p>
    <w:p w14:paraId="5D35185C" w14:textId="6849E09C" w:rsidR="00584941" w:rsidRDefault="00584941" w:rsidP="00BC6406">
      <w:r>
        <w:t>The Maine Public Utility Commission’s Advisory Ruling dated February 2, 2021 in Docket No. 2020-00332, determined that battery storage can be combined with a renewable fuel or technology.  Customers who pair their generating facility with a battery storage need to indicate this on the PUC Chapter 313 application.</w:t>
      </w:r>
    </w:p>
    <w:p w14:paraId="58F45CE8" w14:textId="77777777" w:rsidR="006B78D5" w:rsidRDefault="006B78D5" w:rsidP="00BC6406"/>
    <w:p w14:paraId="319D282B" w14:textId="77777777" w:rsidR="006B78D5" w:rsidRDefault="006B78D5" w:rsidP="00BC6406">
      <w:r>
        <w:t>25.  What reporting is necessary if I have battery storage?</w:t>
      </w:r>
    </w:p>
    <w:p w14:paraId="751AC512" w14:textId="77777777" w:rsidR="006B78D5" w:rsidRDefault="006B78D5" w:rsidP="00BC6406">
      <w:pPr>
        <w:rPr>
          <w:sz w:val="24"/>
          <w:szCs w:val="24"/>
        </w:rPr>
      </w:pPr>
      <w:r>
        <w:t xml:space="preserve">Customers with facilities greater than 100 kW in size that are paired with battery storage, the Customer must submit an annual attestation affirming that the controls necessary to prevent the battery from being charged from the grid remain in place.  </w:t>
      </w:r>
      <w:r>
        <w:rPr>
          <w:sz w:val="24"/>
          <w:szCs w:val="24"/>
        </w:rPr>
        <w:t>In the event that a Customer does not provide the annual attestation or is found to have removed or modified the controls such that the battery can be charged from the grid, then (i) the Customer will be deemed ineligible to participate in Net Energy Billing, (ii) CMP may immediately terminate this Agreement without following the Breach provisions set forth in Article XII of this Agreement, and (iii) CMP may require that the Customer refund to CMP the value of credits provided under this Agreement</w:t>
      </w:r>
      <w:r w:rsidR="0014658B">
        <w:rPr>
          <w:sz w:val="24"/>
          <w:szCs w:val="24"/>
        </w:rPr>
        <w:t>.</w:t>
      </w:r>
    </w:p>
    <w:p w14:paraId="1F07405F" w14:textId="77777777" w:rsidR="0014658B" w:rsidRDefault="0014658B" w:rsidP="00BC6406">
      <w:pPr>
        <w:rPr>
          <w:sz w:val="24"/>
          <w:szCs w:val="24"/>
        </w:rPr>
      </w:pPr>
    </w:p>
    <w:p w14:paraId="743D47A9" w14:textId="77777777" w:rsidR="0014658B" w:rsidRDefault="0014658B" w:rsidP="00BC6406">
      <w:pPr>
        <w:rPr>
          <w:sz w:val="24"/>
          <w:szCs w:val="24"/>
        </w:rPr>
      </w:pPr>
      <w:r>
        <w:rPr>
          <w:sz w:val="24"/>
          <w:szCs w:val="24"/>
        </w:rPr>
        <w:t>26.  How is the term of my CNEBA determined?</w:t>
      </w:r>
    </w:p>
    <w:p w14:paraId="6DF325B6" w14:textId="77777777" w:rsidR="0014658B" w:rsidRDefault="0014658B" w:rsidP="00BC6406">
      <w:r>
        <w:t xml:space="preserve">CNEBA agreements have two periods the comprise the Term of the Agreement.  The Construction </w:t>
      </w:r>
      <w:r w:rsidR="004D7753">
        <w:t>P</w:t>
      </w:r>
      <w:r>
        <w:t xml:space="preserve">eriod commences on the date the signature pages are received by CMP.  </w:t>
      </w:r>
      <w:r w:rsidR="004D7753">
        <w:t xml:space="preserve">The Delivery Period begins on the Commercial Operation date determined by the date CMP approved the Certificate of Completion.  </w:t>
      </w:r>
    </w:p>
    <w:p w14:paraId="23FAB91F" w14:textId="77777777" w:rsidR="004D7753" w:rsidRDefault="004D7753" w:rsidP="00BC6406"/>
    <w:p w14:paraId="649C936E" w14:textId="77777777" w:rsidR="002F5F39" w:rsidRDefault="002F5F39" w:rsidP="00BC6406"/>
    <w:p w14:paraId="65D0D380" w14:textId="77777777" w:rsidR="002F5F39" w:rsidRDefault="002F5F39" w:rsidP="00BC6406"/>
    <w:p w14:paraId="174ECEF6" w14:textId="77777777" w:rsidR="004D7753" w:rsidRDefault="004D7753" w:rsidP="00BC6406">
      <w:r>
        <w:t>27.  Does my CNEB</w:t>
      </w:r>
      <w:r w:rsidR="002F5F39">
        <w:t>A</w:t>
      </w:r>
      <w:r>
        <w:t xml:space="preserve"> have a termination date?</w:t>
      </w:r>
    </w:p>
    <w:p w14:paraId="456677B4" w14:textId="1A636A7C" w:rsidR="004D7753" w:rsidRDefault="003A4C8C" w:rsidP="00BC6406">
      <w:r>
        <w:t>All agreements signed pursuant to the Chapter 313 adopted rule in Docket No. 2019-00197 have a 20 year term.  T</w:t>
      </w:r>
      <w:r w:rsidR="004D7753">
        <w:t>he termination date is the 20</w:t>
      </w:r>
      <w:r w:rsidR="004D7753" w:rsidRPr="004D7753">
        <w:rPr>
          <w:vertAlign w:val="superscript"/>
        </w:rPr>
        <w:t>th</w:t>
      </w:r>
      <w:r w:rsidR="004D7753">
        <w:t xml:space="preserve"> anniversary of the Commercial Operation Date.  If the </w:t>
      </w:r>
      <w:r w:rsidR="004D7753">
        <w:lastRenderedPageBreak/>
        <w:t xml:space="preserve">agreement is for an existing resource the effective date </w:t>
      </w:r>
      <w:r w:rsidR="002F5F39">
        <w:t>the begins on the effective date and continues through the 20</w:t>
      </w:r>
      <w:r w:rsidR="002F5F39" w:rsidRPr="002F5F39">
        <w:rPr>
          <w:vertAlign w:val="superscript"/>
        </w:rPr>
        <w:t>th</w:t>
      </w:r>
      <w:r w:rsidR="002F5F39">
        <w:t xml:space="preserve"> anniversary of the Effective date.  </w:t>
      </w:r>
    </w:p>
    <w:p w14:paraId="2AF2E939" w14:textId="43E9ECA0" w:rsidR="00C53FF9" w:rsidRDefault="00C53FF9" w:rsidP="00BC6406"/>
    <w:p w14:paraId="00278375" w14:textId="498E3565" w:rsidR="00C53FF9" w:rsidRDefault="00C53FF9" w:rsidP="00BC6406">
      <w:r>
        <w:t>28.  Do Street Lights qualify for NEB credits?</w:t>
      </w:r>
    </w:p>
    <w:p w14:paraId="6FA34578" w14:textId="1C0D1614" w:rsidR="00C53FF9" w:rsidRDefault="00C53FF9" w:rsidP="00BC6406">
      <w:r>
        <w:t>Under kilowatt credit programs street lights do not qualify for credits.</w:t>
      </w:r>
    </w:p>
    <w:p w14:paraId="3D14B949" w14:textId="7EAEC48E" w:rsidR="00C53FF9" w:rsidRPr="00BC6406" w:rsidRDefault="00C53FF9" w:rsidP="00BC6406">
      <w:r>
        <w:t xml:space="preserve">Under the tariff rate program street lights </w:t>
      </w:r>
      <w:r w:rsidR="003A4C8C">
        <w:t>d</w:t>
      </w:r>
      <w:r>
        <w:t xml:space="preserve">o qualify for credits.  They receive the small </w:t>
      </w:r>
      <w:r w:rsidR="003A4C8C">
        <w:t xml:space="preserve">commercial tariff </w:t>
      </w:r>
      <w:r>
        <w:t>rate.</w:t>
      </w:r>
    </w:p>
    <w:sectPr w:rsidR="00C53FF9" w:rsidRPr="00BC6406" w:rsidSect="00940826">
      <w:headerReference w:type="even" r:id="rId10"/>
      <w:headerReference w:type="default" r:id="rId11"/>
      <w:footerReference w:type="even" r:id="rId12"/>
      <w:footerReference w:type="default" r:id="rId13"/>
      <w:headerReference w:type="first" r:id="rId14"/>
      <w:footerReference w:type="first" r:id="rId15"/>
      <w:pgSz w:w="12240" w:h="15840"/>
      <w:pgMar w:top="2070" w:right="1260" w:bottom="144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098EC" w14:textId="77777777" w:rsidR="003460A3" w:rsidRDefault="003460A3" w:rsidP="00164939">
      <w:r>
        <w:separator/>
      </w:r>
    </w:p>
  </w:endnote>
  <w:endnote w:type="continuationSeparator" w:id="0">
    <w:p w14:paraId="21DA40D3" w14:textId="77777777" w:rsidR="003460A3" w:rsidRDefault="003460A3" w:rsidP="00164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rueOptima">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25A0D" w14:textId="77777777" w:rsidR="00B32B04" w:rsidRDefault="00B32B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0FE3D" w14:textId="15502817" w:rsidR="00940826" w:rsidRDefault="00940826" w:rsidP="00164939">
    <w:pPr>
      <w:pStyle w:val="Footer"/>
      <w:rPr>
        <w:rStyle w:val="hps"/>
        <w:color w:val="5C881A"/>
        <w:sz w:val="18"/>
        <w:lang w:val="en"/>
      </w:rPr>
    </w:pPr>
  </w:p>
  <w:p w14:paraId="2E76297A" w14:textId="77777777" w:rsidR="00940826" w:rsidRDefault="00940826" w:rsidP="00164939">
    <w:pPr>
      <w:pStyle w:val="Footer"/>
      <w:rPr>
        <w:rStyle w:val="hps"/>
        <w:color w:val="5C881A"/>
        <w:sz w:val="18"/>
        <w:lang w:val="en"/>
      </w:rPr>
    </w:pPr>
    <w:r>
      <w:rPr>
        <w:rStyle w:val="hps"/>
        <w:b/>
        <w:color w:val="5C881A"/>
        <w:sz w:val="18"/>
        <w:lang w:val="en"/>
      </w:rPr>
      <w:t>Central Maine Power</w:t>
    </w:r>
    <w:r>
      <w:rPr>
        <w:rStyle w:val="hps"/>
        <w:b/>
        <w:color w:val="5C881A"/>
        <w:sz w:val="18"/>
        <w:lang w:val="en-GB"/>
      </w:rPr>
      <w:t xml:space="preserve"> </w:t>
    </w:r>
    <w:r>
      <w:rPr>
        <w:rStyle w:val="hps"/>
        <w:color w:val="5C881A"/>
        <w:sz w:val="18"/>
        <w:lang w:val="en"/>
      </w:rPr>
      <w:t>83 Edison Drive, Augusta, ME 04336</w:t>
    </w:r>
  </w:p>
  <w:p w14:paraId="0621F375" w14:textId="77777777" w:rsidR="00940826" w:rsidRPr="00B77807" w:rsidRDefault="00940826" w:rsidP="00164939">
    <w:pPr>
      <w:pStyle w:val="Footer"/>
    </w:pPr>
    <w:r>
      <w:rPr>
        <w:rStyle w:val="hps"/>
        <w:color w:val="5C881A"/>
        <w:sz w:val="18"/>
      </w:rPr>
      <w:t xml:space="preserve">Level of confidentiality: </w:t>
    </w:r>
    <w:r w:rsidRPr="00940826">
      <w:rPr>
        <w:rStyle w:val="hps"/>
        <w:b/>
        <w:color w:val="5C881A"/>
        <w:sz w:val="18"/>
      </w:rPr>
      <w:t>PUBLIC USE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06420" w14:textId="77777777" w:rsidR="00B32B04" w:rsidRDefault="00B32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B010C" w14:textId="77777777" w:rsidR="003460A3" w:rsidRDefault="003460A3" w:rsidP="00164939">
      <w:r>
        <w:separator/>
      </w:r>
    </w:p>
  </w:footnote>
  <w:footnote w:type="continuationSeparator" w:id="0">
    <w:p w14:paraId="7BA07B70" w14:textId="77777777" w:rsidR="003460A3" w:rsidRDefault="003460A3" w:rsidP="00164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5831E" w14:textId="77777777" w:rsidR="00B32B04" w:rsidRDefault="00B32B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8F0F4" w14:textId="77777777" w:rsidR="00375437" w:rsidRDefault="003A4C8C" w:rsidP="00164939">
    <w:pPr>
      <w:pStyle w:val="Header"/>
    </w:pPr>
    <w:r>
      <w:rPr>
        <w:noProof/>
      </w:rPr>
      <w:pict w14:anchorId="6355C424">
        <v:shapetype id="_x0000_t202" coordsize="21600,21600" o:spt="202" path="m,l,21600r21600,l21600,xe">
          <v:stroke joinstyle="miter"/>
          <v:path gradientshapeok="t" o:connecttype="rect"/>
        </v:shapetype>
        <v:shape id="_x0000_s2049" type="#_x0000_t202" style="position:absolute;left:0;text-align:left;margin-left:-23.2pt;margin-top:-28.8pt;width:200.25pt;height:83.55pt;z-index:251657216;mso-wrap-style:none" stroked="f">
          <v:textbox style="mso-next-textbox:#_x0000_s2049;mso-fit-shape-to-text:t">
            <w:txbxContent>
              <w:p w14:paraId="7D945584" w14:textId="77777777" w:rsidR="00375437" w:rsidRDefault="003A4C8C" w:rsidP="00164939">
                <w:r>
                  <w:pict w14:anchorId="09648B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pt;height:76.5pt">
                      <v:imagedata r:id="rId1" o:title="AF-CMP-VER-POS-CMYK"/>
                    </v:shape>
                  </w:pict>
                </w:r>
              </w:p>
            </w:txbxContent>
          </v:textbox>
        </v:shape>
      </w:pict>
    </w:r>
    <w:r w:rsidR="00375437">
      <w:t>[Type text]</w:t>
    </w:r>
  </w:p>
  <w:p w14:paraId="33F0AB1D" w14:textId="77777777" w:rsidR="00375437" w:rsidRDefault="003A4C8C" w:rsidP="00164939">
    <w:pPr>
      <w:pStyle w:val="Header"/>
    </w:pPr>
    <w:r>
      <w:rPr>
        <w:noProof/>
      </w:rPr>
      <w:pict w14:anchorId="6C52881F">
        <v:line id="10 Conector recto" o:spid="_x0000_s2050" style="position:absolute;left:0;text-align:left;flip:y;z-index:251658240;visibility:visible;mso-width-relative:margin" from="1.45pt,36.9pt" to="487.1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" strokecolor="#5c881a" strokeweight="3p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5A7D3" w14:textId="77777777" w:rsidR="00B32B04" w:rsidRDefault="00B32B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0A89"/>
    <w:multiLevelType w:val="hybridMultilevel"/>
    <w:tmpl w:val="CDF6DAF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6535AD"/>
    <w:multiLevelType w:val="hybridMultilevel"/>
    <w:tmpl w:val="1C7AC94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B35A10"/>
    <w:multiLevelType w:val="hybridMultilevel"/>
    <w:tmpl w:val="E23498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AB1D8C"/>
    <w:multiLevelType w:val="hybridMultilevel"/>
    <w:tmpl w:val="B5D41F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54A60"/>
    <w:multiLevelType w:val="hybridMultilevel"/>
    <w:tmpl w:val="1382EA4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4951E1"/>
    <w:multiLevelType w:val="hybridMultilevel"/>
    <w:tmpl w:val="48FA33B8"/>
    <w:lvl w:ilvl="0" w:tplc="9B20B6E0">
      <w:start w:val="16"/>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C03BAE"/>
    <w:multiLevelType w:val="hybridMultilevel"/>
    <w:tmpl w:val="E00CF104"/>
    <w:lvl w:ilvl="0" w:tplc="D9180978">
      <w:start w:val="1"/>
      <w:numFmt w:val="decimal"/>
      <w:pStyle w:val="numberedbulle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1F0989"/>
    <w:multiLevelType w:val="hybridMultilevel"/>
    <w:tmpl w:val="91341E58"/>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8C1941"/>
    <w:multiLevelType w:val="hybridMultilevel"/>
    <w:tmpl w:val="843091E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5F00242"/>
    <w:multiLevelType w:val="hybridMultilevel"/>
    <w:tmpl w:val="BDB093D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D0A7487"/>
    <w:multiLevelType w:val="hybridMultilevel"/>
    <w:tmpl w:val="CCEAB64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483262D"/>
    <w:multiLevelType w:val="hybridMultilevel"/>
    <w:tmpl w:val="53BA9746"/>
    <w:lvl w:ilvl="0" w:tplc="ED406A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7AE101D"/>
    <w:multiLevelType w:val="hybridMultilevel"/>
    <w:tmpl w:val="137280A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68B60FF"/>
    <w:multiLevelType w:val="hybridMultilevel"/>
    <w:tmpl w:val="A00ED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C30E7B"/>
    <w:multiLevelType w:val="hybridMultilevel"/>
    <w:tmpl w:val="91A0275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FB116BF"/>
    <w:multiLevelType w:val="hybridMultilevel"/>
    <w:tmpl w:val="87B6B33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0B46E4D"/>
    <w:multiLevelType w:val="hybridMultilevel"/>
    <w:tmpl w:val="5B7E6852"/>
    <w:lvl w:ilvl="0" w:tplc="D3DC1552">
      <w:numFmt w:val="bullet"/>
      <w:lvlText w:val=""/>
      <w:lvlJc w:val="left"/>
      <w:pPr>
        <w:ind w:left="644" w:hanging="360"/>
      </w:pPr>
      <w:rPr>
        <w:rFonts w:ascii="Wingdings" w:eastAsia="Times New Roman" w:hAnsi="Wingdings" w:cs="Arial" w:hint="default"/>
      </w:rPr>
    </w:lvl>
    <w:lvl w:ilvl="1" w:tplc="0C0A0003">
      <w:start w:val="1"/>
      <w:numFmt w:val="bullet"/>
      <w:lvlText w:val="o"/>
      <w:lvlJc w:val="left"/>
      <w:pPr>
        <w:ind w:left="1364" w:hanging="360"/>
      </w:pPr>
      <w:rPr>
        <w:rFonts w:ascii="Courier New" w:hAnsi="Courier New" w:cs="Courier New" w:hint="default"/>
      </w:rPr>
    </w:lvl>
    <w:lvl w:ilvl="2" w:tplc="0C0A0005">
      <w:start w:val="1"/>
      <w:numFmt w:val="bullet"/>
      <w:lvlText w:val=""/>
      <w:lvlJc w:val="left"/>
      <w:pPr>
        <w:ind w:left="2084" w:hanging="360"/>
      </w:pPr>
      <w:rPr>
        <w:rFonts w:ascii="Wingdings" w:hAnsi="Wingdings" w:hint="default"/>
      </w:rPr>
    </w:lvl>
    <w:lvl w:ilvl="3" w:tplc="0C0A0001">
      <w:start w:val="1"/>
      <w:numFmt w:val="bullet"/>
      <w:lvlText w:val=""/>
      <w:lvlJc w:val="left"/>
      <w:pPr>
        <w:ind w:left="2804" w:hanging="360"/>
      </w:pPr>
      <w:rPr>
        <w:rFonts w:ascii="Symbol" w:hAnsi="Symbol" w:hint="default"/>
      </w:rPr>
    </w:lvl>
    <w:lvl w:ilvl="4" w:tplc="0C0A0003">
      <w:start w:val="1"/>
      <w:numFmt w:val="bullet"/>
      <w:lvlText w:val="o"/>
      <w:lvlJc w:val="left"/>
      <w:pPr>
        <w:ind w:left="3524" w:hanging="360"/>
      </w:pPr>
      <w:rPr>
        <w:rFonts w:ascii="Courier New" w:hAnsi="Courier New" w:cs="Courier New" w:hint="default"/>
      </w:rPr>
    </w:lvl>
    <w:lvl w:ilvl="5" w:tplc="0C0A0005">
      <w:start w:val="1"/>
      <w:numFmt w:val="bullet"/>
      <w:lvlText w:val=""/>
      <w:lvlJc w:val="left"/>
      <w:pPr>
        <w:ind w:left="4244" w:hanging="360"/>
      </w:pPr>
      <w:rPr>
        <w:rFonts w:ascii="Wingdings" w:hAnsi="Wingdings" w:hint="default"/>
      </w:rPr>
    </w:lvl>
    <w:lvl w:ilvl="6" w:tplc="0C0A0001">
      <w:start w:val="1"/>
      <w:numFmt w:val="bullet"/>
      <w:lvlText w:val=""/>
      <w:lvlJc w:val="left"/>
      <w:pPr>
        <w:ind w:left="4964" w:hanging="360"/>
      </w:pPr>
      <w:rPr>
        <w:rFonts w:ascii="Symbol" w:hAnsi="Symbol" w:hint="default"/>
      </w:rPr>
    </w:lvl>
    <w:lvl w:ilvl="7" w:tplc="0C0A0003">
      <w:start w:val="1"/>
      <w:numFmt w:val="bullet"/>
      <w:lvlText w:val="o"/>
      <w:lvlJc w:val="left"/>
      <w:pPr>
        <w:ind w:left="5684" w:hanging="360"/>
      </w:pPr>
      <w:rPr>
        <w:rFonts w:ascii="Courier New" w:hAnsi="Courier New" w:cs="Courier New" w:hint="default"/>
      </w:rPr>
    </w:lvl>
    <w:lvl w:ilvl="8" w:tplc="0C0A0005">
      <w:start w:val="1"/>
      <w:numFmt w:val="bullet"/>
      <w:lvlText w:val=""/>
      <w:lvlJc w:val="left"/>
      <w:pPr>
        <w:ind w:left="6404" w:hanging="360"/>
      </w:pPr>
      <w:rPr>
        <w:rFonts w:ascii="Wingdings" w:hAnsi="Wingdings" w:hint="default"/>
      </w:rPr>
    </w:lvl>
  </w:abstractNum>
  <w:abstractNum w:abstractNumId="17" w15:restartNumberingAfterBreak="0">
    <w:nsid w:val="72823639"/>
    <w:multiLevelType w:val="hybridMultilevel"/>
    <w:tmpl w:val="7BFCF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C30DBD"/>
    <w:multiLevelType w:val="hybridMultilevel"/>
    <w:tmpl w:val="35E0513C"/>
    <w:lvl w:ilvl="0" w:tplc="D96C84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4"/>
  </w:num>
  <w:num w:numId="3">
    <w:abstractNumId w:val="10"/>
  </w:num>
  <w:num w:numId="4">
    <w:abstractNumId w:val="8"/>
  </w:num>
  <w:num w:numId="5">
    <w:abstractNumId w:val="1"/>
  </w:num>
  <w:num w:numId="6">
    <w:abstractNumId w:val="12"/>
  </w:num>
  <w:num w:numId="7">
    <w:abstractNumId w:val="4"/>
  </w:num>
  <w:num w:numId="8">
    <w:abstractNumId w:val="5"/>
  </w:num>
  <w:num w:numId="9">
    <w:abstractNumId w:val="7"/>
  </w:num>
  <w:num w:numId="10">
    <w:abstractNumId w:val="13"/>
  </w:num>
  <w:num w:numId="11">
    <w:abstractNumId w:val="6"/>
  </w:num>
  <w:num w:numId="12">
    <w:abstractNumId w:val="17"/>
  </w:num>
  <w:num w:numId="13">
    <w:abstractNumId w:val="2"/>
  </w:num>
  <w:num w:numId="14">
    <w:abstractNumId w:val="16"/>
  </w:num>
  <w:num w:numId="15">
    <w:abstractNumId w:val="11"/>
  </w:num>
  <w:num w:numId="16">
    <w:abstractNumId w:val="18"/>
  </w:num>
  <w:num w:numId="17">
    <w:abstractNumId w:val="9"/>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US" w:vendorID="64" w:dllVersion="6" w:nlCheck="1" w:checkStyle="1"/>
  <w:activeWritingStyle w:appName="MSWord" w:lang="en-US"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B4F9D"/>
    <w:rsid w:val="00001CD5"/>
    <w:rsid w:val="0000411D"/>
    <w:rsid w:val="000157BF"/>
    <w:rsid w:val="00042BE0"/>
    <w:rsid w:val="00060710"/>
    <w:rsid w:val="0007378D"/>
    <w:rsid w:val="00087B0A"/>
    <w:rsid w:val="000C0CB0"/>
    <w:rsid w:val="000F6541"/>
    <w:rsid w:val="001150B4"/>
    <w:rsid w:val="00122343"/>
    <w:rsid w:val="0014658B"/>
    <w:rsid w:val="00164939"/>
    <w:rsid w:val="0019214B"/>
    <w:rsid w:val="001D02EE"/>
    <w:rsid w:val="001D15D6"/>
    <w:rsid w:val="001E2D62"/>
    <w:rsid w:val="00202377"/>
    <w:rsid w:val="00217E48"/>
    <w:rsid w:val="00257EED"/>
    <w:rsid w:val="00261554"/>
    <w:rsid w:val="00262B49"/>
    <w:rsid w:val="002909EB"/>
    <w:rsid w:val="002A5525"/>
    <w:rsid w:val="002B3C16"/>
    <w:rsid w:val="002C25A6"/>
    <w:rsid w:val="002C3475"/>
    <w:rsid w:val="002E0198"/>
    <w:rsid w:val="002F1227"/>
    <w:rsid w:val="002F5F39"/>
    <w:rsid w:val="00335B1D"/>
    <w:rsid w:val="003438F5"/>
    <w:rsid w:val="00345E6D"/>
    <w:rsid w:val="003460A3"/>
    <w:rsid w:val="00355746"/>
    <w:rsid w:val="00374470"/>
    <w:rsid w:val="00375437"/>
    <w:rsid w:val="00376F99"/>
    <w:rsid w:val="0039751E"/>
    <w:rsid w:val="0039754E"/>
    <w:rsid w:val="003A24F1"/>
    <w:rsid w:val="003A31E3"/>
    <w:rsid w:val="003A4C8C"/>
    <w:rsid w:val="003A6A86"/>
    <w:rsid w:val="003B7637"/>
    <w:rsid w:val="003D680E"/>
    <w:rsid w:val="003E1A6F"/>
    <w:rsid w:val="003F1340"/>
    <w:rsid w:val="003F3B8B"/>
    <w:rsid w:val="003F44B9"/>
    <w:rsid w:val="00434E1C"/>
    <w:rsid w:val="004567E9"/>
    <w:rsid w:val="004A79A1"/>
    <w:rsid w:val="004B0D37"/>
    <w:rsid w:val="004B7C2E"/>
    <w:rsid w:val="004C550B"/>
    <w:rsid w:val="004D41EC"/>
    <w:rsid w:val="004D7753"/>
    <w:rsid w:val="004E74DF"/>
    <w:rsid w:val="00531EA8"/>
    <w:rsid w:val="00570470"/>
    <w:rsid w:val="00584941"/>
    <w:rsid w:val="00596306"/>
    <w:rsid w:val="005A0D05"/>
    <w:rsid w:val="005D52ED"/>
    <w:rsid w:val="005E2686"/>
    <w:rsid w:val="0060411A"/>
    <w:rsid w:val="0061073D"/>
    <w:rsid w:val="00625E62"/>
    <w:rsid w:val="006279B2"/>
    <w:rsid w:val="00685E80"/>
    <w:rsid w:val="006A4642"/>
    <w:rsid w:val="006B78D5"/>
    <w:rsid w:val="006F3B6A"/>
    <w:rsid w:val="007030F2"/>
    <w:rsid w:val="007403A2"/>
    <w:rsid w:val="007C2ADD"/>
    <w:rsid w:val="007E472D"/>
    <w:rsid w:val="00841472"/>
    <w:rsid w:val="00844A5C"/>
    <w:rsid w:val="0086020E"/>
    <w:rsid w:val="008720C0"/>
    <w:rsid w:val="008B24ED"/>
    <w:rsid w:val="008B7D84"/>
    <w:rsid w:val="008C16B0"/>
    <w:rsid w:val="0091578D"/>
    <w:rsid w:val="00934C6E"/>
    <w:rsid w:val="00940826"/>
    <w:rsid w:val="00962F80"/>
    <w:rsid w:val="00963A5A"/>
    <w:rsid w:val="00964057"/>
    <w:rsid w:val="0096745F"/>
    <w:rsid w:val="009900D0"/>
    <w:rsid w:val="00992475"/>
    <w:rsid w:val="0099698D"/>
    <w:rsid w:val="009B7F9B"/>
    <w:rsid w:val="009F110A"/>
    <w:rsid w:val="00A10128"/>
    <w:rsid w:val="00A84811"/>
    <w:rsid w:val="00A8796B"/>
    <w:rsid w:val="00A937D3"/>
    <w:rsid w:val="00A94431"/>
    <w:rsid w:val="00AA052A"/>
    <w:rsid w:val="00AA4C9E"/>
    <w:rsid w:val="00AA4DB5"/>
    <w:rsid w:val="00AC6A7D"/>
    <w:rsid w:val="00AF3E43"/>
    <w:rsid w:val="00B11167"/>
    <w:rsid w:val="00B117EC"/>
    <w:rsid w:val="00B1616D"/>
    <w:rsid w:val="00B32B04"/>
    <w:rsid w:val="00B3440A"/>
    <w:rsid w:val="00B350D6"/>
    <w:rsid w:val="00B57D30"/>
    <w:rsid w:val="00B77807"/>
    <w:rsid w:val="00B93B18"/>
    <w:rsid w:val="00BB6CE8"/>
    <w:rsid w:val="00BC21AA"/>
    <w:rsid w:val="00BC6406"/>
    <w:rsid w:val="00BE2F56"/>
    <w:rsid w:val="00C009C5"/>
    <w:rsid w:val="00C0617B"/>
    <w:rsid w:val="00C15DC1"/>
    <w:rsid w:val="00C30842"/>
    <w:rsid w:val="00C30B42"/>
    <w:rsid w:val="00C34FBF"/>
    <w:rsid w:val="00C43AF3"/>
    <w:rsid w:val="00C47CDD"/>
    <w:rsid w:val="00C50BCC"/>
    <w:rsid w:val="00C53FF9"/>
    <w:rsid w:val="00C661F2"/>
    <w:rsid w:val="00C749D2"/>
    <w:rsid w:val="00CB4F9D"/>
    <w:rsid w:val="00CE363A"/>
    <w:rsid w:val="00D15EA4"/>
    <w:rsid w:val="00D3778C"/>
    <w:rsid w:val="00D410CD"/>
    <w:rsid w:val="00D4576F"/>
    <w:rsid w:val="00D601CF"/>
    <w:rsid w:val="00D6430D"/>
    <w:rsid w:val="00D6460D"/>
    <w:rsid w:val="00D73387"/>
    <w:rsid w:val="00D83AE2"/>
    <w:rsid w:val="00DB2C8E"/>
    <w:rsid w:val="00DD6A85"/>
    <w:rsid w:val="00DD7F3C"/>
    <w:rsid w:val="00DF2158"/>
    <w:rsid w:val="00E10188"/>
    <w:rsid w:val="00E21033"/>
    <w:rsid w:val="00E4328A"/>
    <w:rsid w:val="00E44A4F"/>
    <w:rsid w:val="00E50E60"/>
    <w:rsid w:val="00E709EA"/>
    <w:rsid w:val="00EA4F32"/>
    <w:rsid w:val="00EC56DF"/>
    <w:rsid w:val="00ED4B62"/>
    <w:rsid w:val="00F02543"/>
    <w:rsid w:val="00F2423F"/>
    <w:rsid w:val="00F25019"/>
    <w:rsid w:val="00FA6741"/>
    <w:rsid w:val="00FB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4:docId w14:val="68FFB0E2"/>
  <w15:docId w15:val="{76CF5F77-7D5C-4B01-8C21-6F996AD9A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4939"/>
    <w:rPr>
      <w:rFonts w:ascii="Arial" w:eastAsia="MS Mincho" w:hAnsi="Arial" w:cs="Arial"/>
      <w:sz w:val="22"/>
      <w:szCs w:val="22"/>
      <w:lang w:eastAsia="es-ES"/>
    </w:rPr>
  </w:style>
  <w:style w:type="paragraph" w:styleId="Heading1">
    <w:name w:val="heading 1"/>
    <w:basedOn w:val="Normal"/>
    <w:next w:val="Normal"/>
    <w:link w:val="Heading1Char"/>
    <w:qFormat/>
    <w:rsid w:val="00164939"/>
    <w:pPr>
      <w:jc w:val="center"/>
      <w:outlineLvl w:val="0"/>
    </w:pPr>
    <w:rPr>
      <w:b/>
      <w:color w:val="5C881A"/>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745F"/>
    <w:rPr>
      <w:color w:val="0000FF"/>
      <w:u w:val="single"/>
    </w:rPr>
  </w:style>
  <w:style w:type="paragraph" w:styleId="BalloonText">
    <w:name w:val="Balloon Text"/>
    <w:basedOn w:val="Normal"/>
    <w:link w:val="BalloonTextChar"/>
    <w:uiPriority w:val="99"/>
    <w:semiHidden/>
    <w:unhideWhenUsed/>
    <w:rsid w:val="00164939"/>
    <w:rPr>
      <w:rFonts w:ascii="Lucida Grande" w:hAnsi="Lucida Grande"/>
      <w:sz w:val="18"/>
      <w:szCs w:val="18"/>
    </w:rPr>
  </w:style>
  <w:style w:type="character" w:styleId="CommentReference">
    <w:name w:val="annotation reference"/>
    <w:semiHidden/>
    <w:rsid w:val="00DF2158"/>
    <w:rPr>
      <w:sz w:val="16"/>
      <w:szCs w:val="16"/>
    </w:rPr>
  </w:style>
  <w:style w:type="paragraph" w:styleId="CommentText">
    <w:name w:val="annotation text"/>
    <w:basedOn w:val="Normal"/>
    <w:semiHidden/>
    <w:rsid w:val="00DF2158"/>
    <w:rPr>
      <w:sz w:val="20"/>
      <w:szCs w:val="20"/>
    </w:rPr>
  </w:style>
  <w:style w:type="paragraph" w:styleId="CommentSubject">
    <w:name w:val="annotation subject"/>
    <w:basedOn w:val="CommentText"/>
    <w:next w:val="CommentText"/>
    <w:semiHidden/>
    <w:rsid w:val="00DF2158"/>
    <w:rPr>
      <w:b/>
      <w:bCs/>
    </w:rPr>
  </w:style>
  <w:style w:type="paragraph" w:styleId="Header">
    <w:name w:val="header"/>
    <w:basedOn w:val="Normal"/>
    <w:link w:val="HeaderChar"/>
    <w:uiPriority w:val="99"/>
    <w:unhideWhenUsed/>
    <w:rsid w:val="00164939"/>
    <w:pPr>
      <w:widowControl w:val="0"/>
      <w:tabs>
        <w:tab w:val="center" w:pos="4252"/>
        <w:tab w:val="right" w:pos="8504"/>
      </w:tabs>
      <w:snapToGrid w:val="0"/>
      <w:jc w:val="both"/>
    </w:pPr>
    <w:rPr>
      <w:rFonts w:ascii="TrueOptima" w:eastAsia="Times New Roman" w:hAnsi="TrueOptima"/>
      <w:szCs w:val="20"/>
    </w:rPr>
  </w:style>
  <w:style w:type="character" w:customStyle="1" w:styleId="HeaderChar">
    <w:name w:val="Header Char"/>
    <w:link w:val="Header"/>
    <w:uiPriority w:val="99"/>
    <w:rsid w:val="00164939"/>
    <w:rPr>
      <w:rFonts w:ascii="TrueOptima" w:hAnsi="TrueOptima"/>
      <w:sz w:val="24"/>
      <w:lang w:eastAsia="es-ES"/>
    </w:rPr>
  </w:style>
  <w:style w:type="paragraph" w:styleId="Footer">
    <w:name w:val="footer"/>
    <w:basedOn w:val="Normal"/>
    <w:link w:val="FooterChar"/>
    <w:uiPriority w:val="99"/>
    <w:unhideWhenUsed/>
    <w:rsid w:val="00164939"/>
    <w:pPr>
      <w:tabs>
        <w:tab w:val="center" w:pos="4252"/>
        <w:tab w:val="right" w:pos="8504"/>
      </w:tabs>
    </w:pPr>
  </w:style>
  <w:style w:type="character" w:customStyle="1" w:styleId="FooterChar">
    <w:name w:val="Footer Char"/>
    <w:link w:val="Footer"/>
    <w:uiPriority w:val="99"/>
    <w:rsid w:val="00164939"/>
    <w:rPr>
      <w:rFonts w:ascii="Cambria" w:eastAsia="MS Mincho" w:hAnsi="Cambria"/>
      <w:sz w:val="24"/>
      <w:szCs w:val="24"/>
      <w:lang w:eastAsia="es-ES"/>
    </w:rPr>
  </w:style>
  <w:style w:type="paragraph" w:styleId="Revision">
    <w:name w:val="Revision"/>
    <w:hidden/>
    <w:uiPriority w:val="99"/>
    <w:semiHidden/>
    <w:rsid w:val="00375437"/>
    <w:rPr>
      <w:sz w:val="24"/>
      <w:szCs w:val="24"/>
    </w:rPr>
  </w:style>
  <w:style w:type="character" w:customStyle="1" w:styleId="hps">
    <w:name w:val="hps"/>
    <w:rsid w:val="00164939"/>
  </w:style>
  <w:style w:type="table" w:styleId="TableGrid">
    <w:name w:val="Table Grid"/>
    <w:basedOn w:val="TableNormal"/>
    <w:rsid w:val="00C06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164939"/>
    <w:rPr>
      <w:rFonts w:ascii="Lucida Grande" w:eastAsia="MS Mincho" w:hAnsi="Lucida Grande"/>
      <w:sz w:val="18"/>
      <w:szCs w:val="18"/>
      <w:lang w:eastAsia="es-ES"/>
    </w:rPr>
  </w:style>
  <w:style w:type="paragraph" w:styleId="NoSpacing">
    <w:name w:val="No Spacing"/>
    <w:link w:val="NoSpacingChar"/>
    <w:uiPriority w:val="1"/>
    <w:qFormat/>
    <w:rsid w:val="00164939"/>
    <w:rPr>
      <w:rFonts w:ascii="Calibri" w:hAnsi="Calibri"/>
      <w:sz w:val="22"/>
      <w:szCs w:val="22"/>
      <w:lang w:val="en-GB" w:eastAsia="en-GB"/>
    </w:rPr>
  </w:style>
  <w:style w:type="character" w:customStyle="1" w:styleId="NoSpacingChar">
    <w:name w:val="No Spacing Char"/>
    <w:link w:val="NoSpacing"/>
    <w:uiPriority w:val="1"/>
    <w:rsid w:val="00164939"/>
    <w:rPr>
      <w:rFonts w:ascii="Calibri" w:hAnsi="Calibri"/>
      <w:sz w:val="22"/>
      <w:szCs w:val="22"/>
      <w:lang w:val="en-GB" w:eastAsia="en-GB"/>
    </w:rPr>
  </w:style>
  <w:style w:type="character" w:customStyle="1" w:styleId="atn">
    <w:name w:val="atn"/>
    <w:rsid w:val="00164939"/>
  </w:style>
  <w:style w:type="character" w:customStyle="1" w:styleId="Heading1Char">
    <w:name w:val="Heading 1 Char"/>
    <w:link w:val="Heading1"/>
    <w:rsid w:val="00164939"/>
    <w:rPr>
      <w:rFonts w:ascii="Arial" w:eastAsia="MS Mincho" w:hAnsi="Arial" w:cs="Arial"/>
      <w:b/>
      <w:color w:val="5C881A"/>
      <w:sz w:val="36"/>
      <w:szCs w:val="36"/>
      <w:lang w:eastAsia="es-ES"/>
    </w:rPr>
  </w:style>
  <w:style w:type="character" w:styleId="Strong">
    <w:name w:val="Strong"/>
    <w:qFormat/>
    <w:rsid w:val="00164939"/>
    <w:rPr>
      <w:rFonts w:ascii="Arial" w:hAnsi="Arial" w:cs="Arial"/>
      <w:b/>
      <w:sz w:val="22"/>
      <w:szCs w:val="22"/>
    </w:rPr>
  </w:style>
  <w:style w:type="paragraph" w:customStyle="1" w:styleId="numberedbullet">
    <w:name w:val="numbered bullet"/>
    <w:basedOn w:val="Normal"/>
    <w:link w:val="numberedbulletChar"/>
    <w:qFormat/>
    <w:rsid w:val="00164939"/>
    <w:pPr>
      <w:numPr>
        <w:numId w:val="11"/>
      </w:numPr>
      <w:ind w:left="0"/>
    </w:pPr>
  </w:style>
  <w:style w:type="character" w:customStyle="1" w:styleId="numberedbulletChar">
    <w:name w:val="numbered bullet Char"/>
    <w:link w:val="numberedbullet"/>
    <w:rsid w:val="00164939"/>
    <w:rPr>
      <w:rFonts w:ascii="Arial" w:eastAsia="MS Mincho" w:hAnsi="Arial" w:cs="Arial"/>
      <w:sz w:val="22"/>
      <w:szCs w:val="22"/>
      <w:lang w:eastAsia="es-ES"/>
    </w:rPr>
  </w:style>
  <w:style w:type="character" w:customStyle="1" w:styleId="genid1">
    <w:name w:val="genid1"/>
    <w:rsid w:val="005963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169696">
      <w:bodyDiv w:val="1"/>
      <w:marLeft w:val="0"/>
      <w:marRight w:val="0"/>
      <w:marTop w:val="0"/>
      <w:marBottom w:val="0"/>
      <w:divBdr>
        <w:top w:val="none" w:sz="0" w:space="0" w:color="auto"/>
        <w:left w:val="none" w:sz="0" w:space="0" w:color="auto"/>
        <w:bottom w:val="none" w:sz="0" w:space="0" w:color="auto"/>
        <w:right w:val="none" w:sz="0" w:space="0" w:color="auto"/>
      </w:divBdr>
    </w:div>
    <w:div w:id="1371342817">
      <w:bodyDiv w:val="1"/>
      <w:marLeft w:val="0"/>
      <w:marRight w:val="0"/>
      <w:marTop w:val="0"/>
      <w:marBottom w:val="0"/>
      <w:divBdr>
        <w:top w:val="none" w:sz="0" w:space="0" w:color="auto"/>
        <w:left w:val="none" w:sz="0" w:space="0" w:color="auto"/>
        <w:bottom w:val="none" w:sz="0" w:space="0" w:color="auto"/>
        <w:right w:val="none" w:sz="0" w:space="0" w:color="auto"/>
      </w:divBdr>
    </w:div>
    <w:div w:id="1565288543">
      <w:bodyDiv w:val="1"/>
      <w:marLeft w:val="0"/>
      <w:marRight w:val="0"/>
      <w:marTop w:val="0"/>
      <w:marBottom w:val="0"/>
      <w:divBdr>
        <w:top w:val="none" w:sz="0" w:space="0" w:color="auto"/>
        <w:left w:val="none" w:sz="0" w:space="0" w:color="auto"/>
        <w:bottom w:val="none" w:sz="0" w:space="0" w:color="auto"/>
        <w:right w:val="none" w:sz="0" w:space="0" w:color="auto"/>
      </w:divBdr>
      <w:divsChild>
        <w:div w:id="231505664">
          <w:marLeft w:val="0"/>
          <w:marRight w:val="0"/>
          <w:marTop w:val="0"/>
          <w:marBottom w:val="0"/>
          <w:divBdr>
            <w:top w:val="none" w:sz="0" w:space="0" w:color="auto"/>
            <w:left w:val="none" w:sz="0" w:space="0" w:color="auto"/>
            <w:bottom w:val="none" w:sz="0" w:space="0" w:color="auto"/>
            <w:right w:val="none" w:sz="0" w:space="0" w:color="auto"/>
          </w:divBdr>
          <w:divsChild>
            <w:div w:id="1040858638">
              <w:marLeft w:val="0"/>
              <w:marRight w:val="0"/>
              <w:marTop w:val="0"/>
              <w:marBottom w:val="0"/>
              <w:divBdr>
                <w:top w:val="none" w:sz="0" w:space="0" w:color="auto"/>
                <w:left w:val="none" w:sz="0" w:space="0" w:color="auto"/>
                <w:bottom w:val="none" w:sz="0" w:space="0" w:color="auto"/>
                <w:right w:val="none" w:sz="0" w:space="0" w:color="auto"/>
              </w:divBdr>
            </w:div>
            <w:div w:id="1242179676">
              <w:marLeft w:val="0"/>
              <w:marRight w:val="0"/>
              <w:marTop w:val="0"/>
              <w:marBottom w:val="0"/>
              <w:divBdr>
                <w:top w:val="none" w:sz="0" w:space="0" w:color="auto"/>
                <w:left w:val="none" w:sz="0" w:space="0" w:color="auto"/>
                <w:bottom w:val="none" w:sz="0" w:space="0" w:color="auto"/>
                <w:right w:val="none" w:sz="0" w:space="0" w:color="auto"/>
              </w:divBdr>
            </w:div>
            <w:div w:id="165630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fficiencymaine.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mpco.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439679\Documents\Brand\TEMPLATE-CMP-BRAND-3-2017-(EN)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3C23E-8BE6-48A6-BEB6-2BE972389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TEMPLATE-CMP-BRAND-3-2017-(EN)3</Template>
  <TotalTime>59</TotalTime>
  <Pages>6</Pages>
  <Words>2420</Words>
  <Characters>13798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Frequently Asked Questions</vt:lpstr>
    </vt:vector>
  </TitlesOfParts>
  <Company>Utility Shared Services</Company>
  <LinksUpToDate>false</LinksUpToDate>
  <CharactersWithSpaces>16186</CharactersWithSpaces>
  <SharedDoc>false</SharedDoc>
  <HLinks>
    <vt:vector size="6" baseType="variant">
      <vt:variant>
        <vt:i4>2228335</vt:i4>
      </vt:variant>
      <vt:variant>
        <vt:i4>0</vt:i4>
      </vt:variant>
      <vt:variant>
        <vt:i4>0</vt:i4>
      </vt:variant>
      <vt:variant>
        <vt:i4>5</vt:i4>
      </vt:variant>
      <vt:variant>
        <vt:lpwstr>http://www.efficiencymaine.com/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dc:title>
  <dc:creator>Gary Cole</dc:creator>
  <cp:lastModifiedBy>Morgan, Diana</cp:lastModifiedBy>
  <cp:revision>6</cp:revision>
  <cp:lastPrinted>2018-02-01T21:28:00Z</cp:lastPrinted>
  <dcterms:created xsi:type="dcterms:W3CDTF">2021-09-27T14:52:00Z</dcterms:created>
  <dcterms:modified xsi:type="dcterms:W3CDTF">2022-10-18T14:19:00Z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4b1752-a977-4927-b9e6-e48a43684aee_Enabled">
    <vt:lpwstr>true</vt:lpwstr>
  </property>
  <property fmtid="{D5CDD505-2E9C-101B-9397-08002B2CF9AE}" pid="3" name="MSIP_Label_624b1752-a977-4927-b9e6-e48a43684aee_SetDate">
    <vt:lpwstr>2021-09-27T14:52:16Z</vt:lpwstr>
  </property>
  <property fmtid="{D5CDD505-2E9C-101B-9397-08002B2CF9AE}" pid="4" name="MSIP_Label_624b1752-a977-4927-b9e6-e48a43684aee_Method">
    <vt:lpwstr>Privileged</vt:lpwstr>
  </property>
  <property fmtid="{D5CDD505-2E9C-101B-9397-08002B2CF9AE}" pid="5" name="MSIP_Label_624b1752-a977-4927-b9e6-e48a43684aee_Name">
    <vt:lpwstr>Public</vt:lpwstr>
  </property>
  <property fmtid="{D5CDD505-2E9C-101B-9397-08002B2CF9AE}" pid="6" name="MSIP_Label_624b1752-a977-4927-b9e6-e48a43684aee_SiteId">
    <vt:lpwstr>031a09bc-a2bf-44df-888e-4e09355b7a24</vt:lpwstr>
  </property>
  <property fmtid="{D5CDD505-2E9C-101B-9397-08002B2CF9AE}" pid="7" name="MSIP_Label_624b1752-a977-4927-b9e6-e48a43684aee_ActionId">
    <vt:lpwstr>b00e236d-7307-43b2-a1e6-3df4e3a20843</vt:lpwstr>
  </property>
  <property fmtid="{D5CDD505-2E9C-101B-9397-08002B2CF9AE}" pid="8" name="MSIP_Label_624b1752-a977-4927-b9e6-e48a43684aee_ContentBits">
    <vt:lpwstr>0</vt:lpwstr>
  </property>
</Properties>
</file>